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6B53"/>
          <w:sz w:val="36"/>
        </w:rPr>
        <w:t>MboaTrust AI</w:t>
      </w:r>
    </w:p>
    <w:p>
      <w:pPr>
        <w:jc w:val="center"/>
      </w:pPr>
      <w:r>
        <w:rPr>
          <w:rFonts w:ascii="Aptos Display" w:hAnsi="Aptos Display"/>
          <w:b/>
          <w:color w:val="1F2937"/>
          <w:sz w:val="26"/>
        </w:rPr>
        <w:t>Implementation Budget Estimate</w:t>
      </w:r>
    </w:p>
    <w:p>
      <w:pPr>
        <w:jc w:val="center"/>
      </w:pPr>
      <w:r>
        <w:rPr>
          <w:color w:val="6B7280"/>
          <w:sz w:val="18"/>
        </w:rPr>
        <w:t>MVP development, deployment, and 6-12 month pilot phase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080"/>
        <w:gridCol w:w="3600"/>
      </w:tblGrid>
      <w:tr>
        <w:tc>
          <w:tcPr>
            <w:tcW w:type="dxa" w:w="7272"/>
            <w:shd w:fill="E7F3EE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Total estimated budget for a deployable MVP, pilot operations, backend infrastructure, AI scoring, mobile money integration, field testing, and launch support.</w:t>
            </w:r>
          </w:p>
        </w:tc>
        <w:tc>
          <w:tcPr>
            <w:tcW w:type="dxa" w:w="7272"/>
            <w:shd w:fill="E7F3EE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26"/>
              </w:rPr>
              <w:t>22,500,000 FCFA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5CF"/>
          <w:left w:val="single" w:sz="6" w:space="0" w:color="C8D5CF"/>
          <w:bottom w:val="single" w:sz="6" w:space="0" w:color="C8D5CF"/>
          <w:right w:val="single" w:sz="6" w:space="0" w:color="C8D5CF"/>
          <w:insideH w:val="single" w:sz="6" w:space="0" w:color="C8D5CF"/>
          <w:insideV w:val="single" w:sz="6" w:space="0" w:color="C8D5CF"/>
        </w:tblBorders>
      </w:tblPr>
      <w:tblGrid>
        <w:gridCol w:w="648"/>
        <w:gridCol w:w="3384"/>
        <w:gridCol w:w="9432"/>
        <w:gridCol w:w="1944"/>
      </w:tblGrid>
      <w:tr>
        <w:tc>
          <w:tcPr>
            <w:tcW w:type="dxa" w:w="3636"/>
            <w:shd w:fill="0B6B53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636"/>
            <w:shd w:fill="0B6B53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Budget Line</w:t>
            </w:r>
          </w:p>
        </w:tc>
        <w:tc>
          <w:tcPr>
            <w:tcW w:type="dxa" w:w="3636"/>
            <w:shd w:fill="0B6B53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 / Justification</w:t>
            </w:r>
          </w:p>
        </w:tc>
        <w:tc>
          <w:tcPr>
            <w:tcW w:type="dxa" w:w="3636"/>
            <w:shd w:fill="0B6B53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Amount (FCFA)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Software Development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Mobile app, backend API, database models, dashboard wiring, UI/UX implementation, testing and deployment setup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6,000,000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2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Backend &amp; API Production Hardening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FastAPI backend stabilization, authentication, KYC workflow, records APIs, receipt verification APIs, error handling, deployment readiness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1,500,000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3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Cloud &amp; Server Infrastructure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Hosting for API, data collection service, credit scoring service, database, backups, monitoring and production environment setup for 12 months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2,400,000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4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AI &amp; Credit Scoring Costs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Credit scoring model integration, model testing, AI API usage, scoring logic improvement and trust score explanation features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1,800,000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5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Mobile Money Data Integration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MTN/Orange transaction sync mechanism, consent notification workflow, SMS/data parser refinement, transaction history storage and validation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1,200,000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6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Security &amp; Compliance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Data protection review, privacy policy, consent flow, encryption, secure storage, audit preparation and basic fintech compliance support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1,000,000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7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Hardware &amp; Equipment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Android test smartphones, laptop accessories, testing devices and field demo equipment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700,000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8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Field Testing &amp; Pilot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500 merchant onboarding target, Douala pilot, user testing, feedback collection, transport and field support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1,200,000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9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Microfinance Partnerships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Contractualization, partner meetings, onboarding of 2 MFI partners, integration discussions and operational follow-up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800,000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10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UI/UX Design &amp; Branding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Professional interface refinement, visual identity, pitch visuals, merchant-friendly flows and product branding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800,000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11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Communications &amp; Pitch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HD pitch video, investor presentation, demo materials, website/landing page and printed collateral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600,000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12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Legal Registration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Company/startup registration, basic contracts, terms of service and administrative fees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350,000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13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App Publishing &amp; Distribution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Google Play Console, app signing, APK distribution, domain name, professional email and store listing assets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250,000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14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Training &amp; Documentation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Technical documentation, user guides, merchant onboarding material, pilot team training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300,000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15</w:t>
            </w:r>
          </w:p>
        </w:tc>
        <w:tc>
          <w:tcPr>
            <w:tcW w:type="dxa" w:w="33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Maintenance &amp; Support</w:t>
            </w:r>
          </w:p>
        </w:tc>
        <w:tc>
          <w:tcPr>
            <w:tcW w:type="dxa" w:w="94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Bug fixing, server monitoring, user support, minor improvements and operational support during pilot period</w:t>
            </w:r>
          </w:p>
        </w:tc>
        <w:tc>
          <w:tcPr>
            <w:tcW w:type="dxa" w:w="194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1,200,000</w:t>
            </w:r>
          </w:p>
        </w:tc>
      </w:tr>
      <w:tr>
        <w:tc>
          <w:tcPr>
            <w:tcW w:type="dxa" w:w="648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0B6B53"/>
                <w:sz w:val="15"/>
              </w:rPr>
              <w:t>16</w:t>
            </w:r>
          </w:p>
        </w:tc>
        <w:tc>
          <w:tcPr>
            <w:tcW w:type="dxa" w:w="338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Contingency Reserve</w:t>
            </w:r>
          </w:p>
        </w:tc>
        <w:tc>
          <w:tcPr>
            <w:tcW w:type="dxa" w:w="9432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7"/>
                <w:sz w:val="14"/>
              </w:rPr>
              <w:t>Safety margin for technical, operational, infrastructure or field-testing contingencies</w:t>
            </w:r>
          </w:p>
        </w:tc>
        <w:tc>
          <w:tcPr>
            <w:tcW w:type="dxa" w:w="1944"/>
            <w:shd w:fill="F7FAF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937"/>
                <w:sz w:val="15"/>
              </w:rPr>
              <w:t>2,400,000</w:t>
            </w:r>
          </w:p>
        </w:tc>
      </w:tr>
      <w:tr>
        <w:tc>
          <w:tcPr>
            <w:tcW w:type="dxa" w:w="648"/>
            <w:shd w:fill="0B6B5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  <w:tc>
          <w:tcPr>
            <w:tcW w:type="dxa" w:w="3384"/>
            <w:shd w:fill="0B6B5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  <w:tc>
          <w:tcPr>
            <w:tcW w:type="dxa" w:w="9432"/>
            <w:shd w:fill="0B6B5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GRAND TOTAL</w:t>
            </w:r>
          </w:p>
        </w:tc>
        <w:tc>
          <w:tcPr>
            <w:tcW w:type="dxa" w:w="1944"/>
            <w:shd w:fill="D9B13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000000"/>
                <w:sz w:val="18"/>
              </w:rPr>
              <w:t>22,500,000</w:t>
            </w:r>
          </w:p>
        </w:tc>
      </w:tr>
    </w:tbl>
    <w:p>
      <w:pPr>
        <w:spacing w:before="160"/>
        <w:jc w:val="left"/>
      </w:pPr>
      <w:r>
        <w:rPr>
          <w:i/>
          <w:color w:val="6B7280"/>
          <w:sz w:val="16"/>
        </w:rPr>
        <w:t>Note: Figures correspond to a 6-12 month MVP implementation and pilot phase. Costs should be refined after supplier quotations, partner terms, hosting plan selection, and final compliance requirements.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MboaTrust AI - Confidential Budget Estimate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