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15CF" w14:textId="77777777" w:rsidR="00B92F1F" w:rsidRPr="007C7040" w:rsidRDefault="00B92F1F" w:rsidP="00B92F1F">
      <w:pPr>
        <w:jc w:val="center"/>
        <w:rPr>
          <w:lang w:val="es-PA"/>
        </w:rPr>
      </w:pPr>
      <w:r w:rsidRPr="007C7040">
        <w:rPr>
          <w:lang w:val="es-PA"/>
        </w:rPr>
        <w:t>UNIVERSIDAD CENTROOCIDENTAL</w:t>
      </w:r>
    </w:p>
    <w:p w14:paraId="62D38E6C" w14:textId="77777777" w:rsidR="00B92F1F" w:rsidRPr="007C7040" w:rsidRDefault="00B92F1F" w:rsidP="00B92F1F">
      <w:pPr>
        <w:jc w:val="center"/>
        <w:rPr>
          <w:lang w:val="es-PA"/>
        </w:rPr>
      </w:pPr>
      <w:r w:rsidRPr="007C7040">
        <w:rPr>
          <w:lang w:val="es-PA"/>
        </w:rPr>
        <w:t>“LISANDRO ALVARADO”</w:t>
      </w:r>
    </w:p>
    <w:p w14:paraId="690BB879" w14:textId="77777777" w:rsidR="00B92F1F" w:rsidRPr="007C7040" w:rsidRDefault="00B92F1F" w:rsidP="00B92F1F">
      <w:pPr>
        <w:jc w:val="center"/>
        <w:rPr>
          <w:lang w:val="es-PA"/>
        </w:rPr>
      </w:pPr>
      <w:r w:rsidRPr="007C7040">
        <w:rPr>
          <w:lang w:val="es-PA"/>
        </w:rPr>
        <w:t>DECANATO DE CIENCIAS Y TECNOLOGÍA</w:t>
      </w:r>
    </w:p>
    <w:p w14:paraId="05ADC540" w14:textId="77B2BF5B" w:rsidR="00B92F1F" w:rsidRDefault="00B92F1F" w:rsidP="003643F4">
      <w:pPr>
        <w:jc w:val="center"/>
        <w:rPr>
          <w:lang w:val="es-PA"/>
        </w:rPr>
      </w:pPr>
      <w:r w:rsidRPr="00734A49">
        <w:rPr>
          <w:lang w:val="es-PA"/>
        </w:rPr>
        <w:t>DIRECCIÓN PROGRAMA DE ANALISIS DE S</w:t>
      </w:r>
      <w:r>
        <w:rPr>
          <w:lang w:val="es-PA"/>
        </w:rPr>
        <w:t>ISTEMAS</w:t>
      </w:r>
    </w:p>
    <w:p w14:paraId="5B81E7D0" w14:textId="77777777" w:rsidR="003643F4" w:rsidRDefault="003643F4" w:rsidP="003643F4">
      <w:pPr>
        <w:jc w:val="center"/>
        <w:rPr>
          <w:lang w:val="es-PA"/>
        </w:rPr>
      </w:pPr>
    </w:p>
    <w:p w14:paraId="7993B909" w14:textId="77777777" w:rsidR="003643F4" w:rsidRDefault="003643F4" w:rsidP="003643F4">
      <w:pPr>
        <w:jc w:val="center"/>
        <w:rPr>
          <w:lang w:val="es-PA"/>
        </w:rPr>
      </w:pPr>
    </w:p>
    <w:p w14:paraId="624875D9" w14:textId="77777777" w:rsidR="00C01FD1" w:rsidRDefault="00C01FD1" w:rsidP="003643F4">
      <w:pPr>
        <w:jc w:val="center"/>
        <w:rPr>
          <w:lang w:val="es-PA"/>
        </w:rPr>
      </w:pPr>
    </w:p>
    <w:p w14:paraId="2CB205F3" w14:textId="39B2C950" w:rsidR="00C01FD1" w:rsidRPr="003643F4" w:rsidRDefault="00451B57" w:rsidP="003643F4">
      <w:pPr>
        <w:jc w:val="center"/>
        <w:rPr>
          <w:lang w:val="es-PA"/>
        </w:rPr>
      </w:pPr>
      <w:r>
        <w:rPr>
          <w:lang w:val="es-PA"/>
        </w:rPr>
        <w:t>INFORME TECNICO</w:t>
      </w:r>
    </w:p>
    <w:p w14:paraId="14FF292E" w14:textId="77777777" w:rsidR="00A972DB" w:rsidRPr="00A972DB" w:rsidRDefault="00A972DB" w:rsidP="00A972DB">
      <w:pPr>
        <w:jc w:val="center"/>
        <w:rPr>
          <w:b/>
          <w:bCs/>
          <w:sz w:val="28"/>
          <w:szCs w:val="28"/>
          <w:lang w:val="es-VE"/>
        </w:rPr>
      </w:pPr>
      <w:r w:rsidRPr="00A972DB">
        <w:rPr>
          <w:b/>
          <w:bCs/>
          <w:sz w:val="28"/>
          <w:szCs w:val="28"/>
          <w:lang w:val="es-VE"/>
        </w:rPr>
        <w:t>Procesador de Expresiones Aritméticas</w:t>
      </w:r>
    </w:p>
    <w:p w14:paraId="66CE72EF" w14:textId="6A868651" w:rsidR="00AA1827" w:rsidRPr="003643F4" w:rsidRDefault="00A972DB" w:rsidP="003643F4">
      <w:pPr>
        <w:jc w:val="center"/>
        <w:rPr>
          <w:color w:val="EE0000"/>
          <w:sz w:val="144"/>
          <w:szCs w:val="144"/>
          <w:lang w:val="es-VE"/>
        </w:rPr>
      </w:pPr>
      <w:r>
        <w:rPr>
          <w:noProof/>
        </w:rPr>
        <w:drawing>
          <wp:inline distT="0" distB="0" distL="0" distR="0" wp14:anchorId="45DBC51D" wp14:editId="1B25D4C3">
            <wp:extent cx="5067300" cy="2101850"/>
            <wp:effectExtent l="0" t="0" r="0" b="0"/>
            <wp:docPr id="50364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45377" name="Imagen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067300" cy="2101850"/>
                    </a:xfrm>
                    <a:prstGeom prst="rect">
                      <a:avLst/>
                    </a:prstGeom>
                  </pic:spPr>
                </pic:pic>
              </a:graphicData>
            </a:graphic>
          </wp:inline>
        </w:drawing>
      </w:r>
    </w:p>
    <w:p w14:paraId="05F39342" w14:textId="59E5F006" w:rsidR="003643F4" w:rsidRDefault="003643F4" w:rsidP="003643F4">
      <w:pPr>
        <w:tabs>
          <w:tab w:val="left" w:pos="1788"/>
        </w:tabs>
        <w:rPr>
          <w:lang w:val="es-VE"/>
        </w:rPr>
      </w:pPr>
      <w:r>
        <w:rPr>
          <w:lang w:val="es-VE"/>
        </w:rPr>
        <w:tab/>
      </w:r>
    </w:p>
    <w:p w14:paraId="45B081D5" w14:textId="77777777" w:rsidR="00A972DB" w:rsidRDefault="00A972DB" w:rsidP="003643F4">
      <w:pPr>
        <w:tabs>
          <w:tab w:val="left" w:pos="1788"/>
        </w:tabs>
        <w:rPr>
          <w:lang w:val="es-VE"/>
        </w:rPr>
      </w:pPr>
    </w:p>
    <w:p w14:paraId="6668E481" w14:textId="77777777" w:rsidR="00A972DB" w:rsidRDefault="00A972DB" w:rsidP="003643F4">
      <w:pPr>
        <w:tabs>
          <w:tab w:val="left" w:pos="1788"/>
        </w:tabs>
        <w:rPr>
          <w:lang w:val="es-VE"/>
        </w:rPr>
      </w:pPr>
    </w:p>
    <w:p w14:paraId="7215C008" w14:textId="090B56F8" w:rsidR="00AA1827" w:rsidRDefault="00AA1827" w:rsidP="003643F4">
      <w:pPr>
        <w:spacing w:line="240" w:lineRule="auto"/>
        <w:rPr>
          <w:lang w:val="es-VE"/>
        </w:rPr>
      </w:pPr>
      <w:r>
        <w:rPr>
          <w:lang w:val="es-VE"/>
        </w:rPr>
        <w:t>Desarrolladores:</w:t>
      </w:r>
    </w:p>
    <w:p w14:paraId="74F04758" w14:textId="23F1A9C9" w:rsidR="00AA1827" w:rsidRDefault="00AA1827" w:rsidP="003643F4">
      <w:pPr>
        <w:spacing w:line="240" w:lineRule="auto"/>
        <w:rPr>
          <w:lang w:val="es-VE"/>
        </w:rPr>
      </w:pPr>
      <w:r>
        <w:rPr>
          <w:lang w:val="es-VE"/>
        </w:rPr>
        <w:t>Auris Rodriguez</w:t>
      </w:r>
      <w:r w:rsidR="00DC64BE">
        <w:rPr>
          <w:lang w:val="es-VE"/>
        </w:rPr>
        <w:t xml:space="preserve"> 32273690</w:t>
      </w:r>
    </w:p>
    <w:p w14:paraId="1DA5D069" w14:textId="13141E7F" w:rsidR="00B92F1F" w:rsidRDefault="00AA1827" w:rsidP="003643F4">
      <w:pPr>
        <w:spacing w:line="240" w:lineRule="auto"/>
        <w:rPr>
          <w:lang w:val="es-VE"/>
        </w:rPr>
      </w:pPr>
      <w:r>
        <w:rPr>
          <w:lang w:val="es-VE"/>
        </w:rPr>
        <w:t xml:space="preserve">Duval Pérez </w:t>
      </w:r>
      <w:r w:rsidR="00DC64BE">
        <w:rPr>
          <w:lang w:val="es-VE"/>
        </w:rPr>
        <w:t>30895305</w:t>
      </w:r>
    </w:p>
    <w:p w14:paraId="61A11E3E" w14:textId="71242922" w:rsidR="003643F4" w:rsidRDefault="003643F4" w:rsidP="003643F4">
      <w:pPr>
        <w:spacing w:line="240" w:lineRule="auto"/>
        <w:rPr>
          <w:lang w:val="es-VE"/>
        </w:rPr>
      </w:pPr>
      <w:r>
        <w:rPr>
          <w:lang w:val="es-VE"/>
        </w:rPr>
        <w:t>Profesor:</w:t>
      </w:r>
    </w:p>
    <w:p w14:paraId="3BD785D3" w14:textId="49031FA1" w:rsidR="003643F4" w:rsidRDefault="003643F4" w:rsidP="003643F4">
      <w:pPr>
        <w:spacing w:line="240" w:lineRule="auto"/>
        <w:rPr>
          <w:lang w:val="es-VE"/>
        </w:rPr>
      </w:pPr>
      <w:r>
        <w:rPr>
          <w:lang w:val="es-VE"/>
        </w:rPr>
        <w:t>Juan Salas</w:t>
      </w:r>
    </w:p>
    <w:p w14:paraId="0CE4AF4F" w14:textId="4F9FA093" w:rsidR="00DC64BE" w:rsidRDefault="00DC64BE" w:rsidP="003643F4">
      <w:pPr>
        <w:rPr>
          <w:lang w:val="es-VE"/>
        </w:rPr>
      </w:pPr>
    </w:p>
    <w:p w14:paraId="378D787F" w14:textId="77777777" w:rsidR="00A972DB" w:rsidRDefault="00A972DB">
      <w:pPr>
        <w:rPr>
          <w:lang w:val="es-VE"/>
        </w:rPr>
      </w:pPr>
      <w:r>
        <w:rPr>
          <w:lang w:val="es-VE"/>
        </w:rPr>
        <w:br w:type="page"/>
      </w:r>
    </w:p>
    <w:p w14:paraId="4A87F4AD" w14:textId="1988FE38" w:rsidR="00A972DB" w:rsidRPr="00A972DB" w:rsidRDefault="00A972DB" w:rsidP="00A972DB">
      <w:pPr>
        <w:jc w:val="center"/>
        <w:rPr>
          <w:lang w:val="es-VE"/>
        </w:rPr>
      </w:pPr>
      <w:r w:rsidRPr="00A972DB">
        <w:rPr>
          <w:lang w:val="es-VE"/>
        </w:rPr>
        <w:lastRenderedPageBreak/>
        <w:t>Introducción</w:t>
      </w:r>
    </w:p>
    <w:p w14:paraId="5CC26644" w14:textId="77777777" w:rsidR="00A972DB" w:rsidRPr="00A972DB" w:rsidRDefault="00A972DB" w:rsidP="00A972DB">
      <w:pPr>
        <w:rPr>
          <w:lang w:val="es-VE"/>
        </w:rPr>
      </w:pPr>
      <w:r w:rsidRPr="00A972DB">
        <w:rPr>
          <w:lang w:val="es-VE"/>
        </w:rPr>
        <w:t>El presente informe detalla la metodología y la implementación de un procesador de expresiones aritméticas desarrollado en lenguaje Rust. El objetivo principal es transformar expresiones en notación infija a notación polaca inversa (RPN), cumpliendo con restricciones estrictas de gestión de memoria estática y optimización algorítmica.</w:t>
      </w:r>
    </w:p>
    <w:p w14:paraId="664BBCA7" w14:textId="77777777" w:rsidR="00A972DB" w:rsidRDefault="00A972DB">
      <w:pPr>
        <w:rPr>
          <w:lang w:val="es-VE"/>
        </w:rPr>
      </w:pPr>
      <w:r>
        <w:rPr>
          <w:lang w:val="es-VE"/>
        </w:rPr>
        <w:br w:type="page"/>
      </w:r>
    </w:p>
    <w:p w14:paraId="28DA1B3E" w14:textId="672735E7" w:rsidR="00A972DB" w:rsidRPr="00A972DB" w:rsidRDefault="00A972DB" w:rsidP="00A972DB">
      <w:pPr>
        <w:rPr>
          <w:b/>
          <w:bCs/>
          <w:lang w:val="es-VE"/>
        </w:rPr>
      </w:pPr>
      <w:r w:rsidRPr="00A972DB">
        <w:rPr>
          <w:b/>
          <w:bCs/>
          <w:lang w:val="es-VE"/>
        </w:rPr>
        <w:lastRenderedPageBreak/>
        <w:t>Arquitectura del Sistema</w:t>
      </w:r>
    </w:p>
    <w:p w14:paraId="5253D983" w14:textId="77777777" w:rsidR="00A972DB" w:rsidRPr="00A972DB" w:rsidRDefault="00A972DB" w:rsidP="00A972DB">
      <w:pPr>
        <w:rPr>
          <w:lang w:val="es-VE"/>
        </w:rPr>
      </w:pPr>
      <w:r w:rsidRPr="00A972DB">
        <w:rPr>
          <w:lang w:val="es-VE"/>
        </w:rPr>
        <w:t>El software se fundamenta en una arquitectura de compilador modular, dividida en cuatro etapas fundamentales:</w:t>
      </w:r>
    </w:p>
    <w:p w14:paraId="75CC5512" w14:textId="7E132E48" w:rsidR="00A972DB" w:rsidRPr="00A972DB" w:rsidRDefault="00A972DB" w:rsidP="00A972DB">
      <w:pPr>
        <w:rPr>
          <w:lang w:val="es-VE"/>
        </w:rPr>
      </w:pPr>
      <w:r w:rsidRPr="00A972DB">
        <w:rPr>
          <w:lang w:val="es-VE"/>
        </w:rPr>
        <w:t xml:space="preserve"> Entrada/Salida (I/O):</w:t>
      </w:r>
      <w:r>
        <w:rPr>
          <w:lang w:val="es-VE"/>
        </w:rPr>
        <w:t xml:space="preserve"> </w:t>
      </w:r>
      <w:r w:rsidRPr="00A972DB">
        <w:rPr>
          <w:lang w:val="es-VE"/>
        </w:rPr>
        <w:t>Carga y estructuración de datos desde archivos planos.</w:t>
      </w:r>
    </w:p>
    <w:p w14:paraId="3AE8959D" w14:textId="0DB9ADB8" w:rsidR="00A972DB" w:rsidRPr="00A972DB" w:rsidRDefault="00A972DB" w:rsidP="00A972DB">
      <w:pPr>
        <w:rPr>
          <w:lang w:val="es-VE"/>
        </w:rPr>
      </w:pPr>
      <w:r w:rsidRPr="00A972DB">
        <w:rPr>
          <w:lang w:val="es-VE"/>
        </w:rPr>
        <w:t xml:space="preserve"> Analizador Léxico (Scanner): Validación de tokens conforme a la tabla de símbolos definida.</w:t>
      </w:r>
    </w:p>
    <w:p w14:paraId="07C08E77" w14:textId="27053471" w:rsidR="00A972DB" w:rsidRPr="00A972DB" w:rsidRDefault="00A972DB" w:rsidP="00A972DB">
      <w:pPr>
        <w:rPr>
          <w:lang w:val="es-VE"/>
        </w:rPr>
      </w:pPr>
      <w:r w:rsidRPr="00A972DB">
        <w:rPr>
          <w:lang w:val="es-VE"/>
        </w:rPr>
        <w:t xml:space="preserve"> Traductor (</w:t>
      </w:r>
      <w:proofErr w:type="spellStart"/>
      <w:r w:rsidRPr="00A972DB">
        <w:rPr>
          <w:lang w:val="es-VE"/>
        </w:rPr>
        <w:t>Parser</w:t>
      </w:r>
      <w:proofErr w:type="spellEnd"/>
      <w:r w:rsidRPr="00A972DB">
        <w:rPr>
          <w:lang w:val="es-VE"/>
        </w:rPr>
        <w:t>): Conversión de notación basada en precedencia de operadores.</w:t>
      </w:r>
    </w:p>
    <w:p w14:paraId="01262A53" w14:textId="65E89767" w:rsidR="00A972DB" w:rsidRPr="00A972DB" w:rsidRDefault="00A972DB" w:rsidP="00A972DB">
      <w:pPr>
        <w:rPr>
          <w:lang w:val="es-VE"/>
        </w:rPr>
      </w:pPr>
      <w:r w:rsidRPr="00A972DB">
        <w:rPr>
          <w:lang w:val="es-VE"/>
        </w:rPr>
        <w:t xml:space="preserve"> Visualizador: Emisión de reportes formateados en consola.</w:t>
      </w:r>
    </w:p>
    <w:p w14:paraId="30326362" w14:textId="2BCC2BF4" w:rsidR="00A972DB" w:rsidRPr="00A972DB" w:rsidRDefault="00A972DB" w:rsidP="00A972DB">
      <w:pPr>
        <w:rPr>
          <w:b/>
          <w:bCs/>
          <w:lang w:val="es-VE"/>
        </w:rPr>
      </w:pPr>
      <w:r w:rsidRPr="00A972DB">
        <w:rPr>
          <w:b/>
          <w:bCs/>
          <w:lang w:val="es-VE"/>
        </w:rPr>
        <w:t>Especificaciones de Memoria</w:t>
      </w:r>
    </w:p>
    <w:p w14:paraId="181B670B" w14:textId="77777777" w:rsidR="00A972DB" w:rsidRPr="00A972DB" w:rsidRDefault="00A972DB" w:rsidP="00A972DB">
      <w:pPr>
        <w:rPr>
          <w:lang w:val="es-VE"/>
        </w:rPr>
      </w:pPr>
      <w:r w:rsidRPr="00A972DB">
        <w:rPr>
          <w:lang w:val="es-VE"/>
        </w:rPr>
        <w:t>Para dar cumplimiento a las restricciones del proyecto, se ha implementado una gestión de memoria basada exclusivamente en el Stack. Se han definido constantes (</w:t>
      </w:r>
      <w:proofErr w:type="spellStart"/>
      <w:r w:rsidRPr="00A972DB">
        <w:rPr>
          <w:lang w:val="es-VE"/>
        </w:rPr>
        <w:t>const</w:t>
      </w:r>
      <w:proofErr w:type="spellEnd"/>
      <w:r w:rsidRPr="00A972DB">
        <w:rPr>
          <w:lang w:val="es-VE"/>
        </w:rPr>
        <w:t>) que establecen los límites máximos para la tabla de símbolos y la expresión, garantizando un comportamiento determinista. Se utilizan variables de control para la gestión del tamaño lógico, evitando la lectura de celdas vacías y prescindiendo de colecciones dinámicas.</w:t>
      </w:r>
    </w:p>
    <w:p w14:paraId="6E4CD810" w14:textId="717B6BC0" w:rsidR="00A972DB" w:rsidRPr="00A972DB" w:rsidRDefault="00A972DB" w:rsidP="00A972DB">
      <w:pPr>
        <w:rPr>
          <w:b/>
          <w:bCs/>
          <w:lang w:val="es-VE"/>
        </w:rPr>
      </w:pPr>
      <w:r w:rsidRPr="00A972DB">
        <w:rPr>
          <w:b/>
          <w:bCs/>
          <w:lang w:val="es-VE"/>
        </w:rPr>
        <w:t>Lógica del Algoritmo (Diagrama de Flujo)</w:t>
      </w:r>
    </w:p>
    <w:p w14:paraId="1509D5D0" w14:textId="77777777" w:rsidR="00A972DB" w:rsidRPr="00A972DB" w:rsidRDefault="00A972DB" w:rsidP="00A972DB">
      <w:pPr>
        <w:rPr>
          <w:lang w:val="es-VE"/>
        </w:rPr>
      </w:pPr>
      <w:r w:rsidRPr="00A972DB">
        <w:rPr>
          <w:lang w:val="es-VE"/>
        </w:rPr>
        <w:t>La conversión entre notaciones se rige por un algoritmo de procesamiento lineal que evalúa la precedencia de cada operador. El siguiente diagrama describe el ciclo de vida de un token desde su entrada hasta su salida hacia la notación postfija:</w:t>
      </w:r>
    </w:p>
    <w:p w14:paraId="40AB3AB0" w14:textId="77777777" w:rsidR="00A972DB" w:rsidRDefault="00A972DB" w:rsidP="00A972DB">
      <w:pPr>
        <w:rPr>
          <w:lang w:val="es-VE"/>
        </w:rPr>
      </w:pPr>
      <w:r>
        <w:rPr>
          <w:noProof/>
          <w:lang w:val="es-VE"/>
        </w:rPr>
        <w:drawing>
          <wp:inline distT="0" distB="0" distL="0" distR="0" wp14:anchorId="3E4ABEF6" wp14:editId="3B9AC23B">
            <wp:extent cx="4198620" cy="3017982"/>
            <wp:effectExtent l="0" t="0" r="0" b="0"/>
            <wp:docPr id="1203070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70473" name="Imagen 1203070473"/>
                    <pic:cNvPicPr/>
                  </pic:nvPicPr>
                  <pic:blipFill>
                    <a:blip r:embed="rId6">
                      <a:extLst>
                        <a:ext uri="{28A0092B-C50C-407E-A947-70E740481C1C}">
                          <a14:useLocalDpi xmlns:a14="http://schemas.microsoft.com/office/drawing/2010/main" val="0"/>
                        </a:ext>
                      </a:extLst>
                    </a:blip>
                    <a:stretch>
                      <a:fillRect/>
                    </a:stretch>
                  </pic:blipFill>
                  <pic:spPr>
                    <a:xfrm>
                      <a:off x="0" y="0"/>
                      <a:ext cx="4202931" cy="3021080"/>
                    </a:xfrm>
                    <a:prstGeom prst="rect">
                      <a:avLst/>
                    </a:prstGeom>
                  </pic:spPr>
                </pic:pic>
              </a:graphicData>
            </a:graphic>
          </wp:inline>
        </w:drawing>
      </w:r>
    </w:p>
    <w:p w14:paraId="1D6243B1" w14:textId="77777777" w:rsidR="00A972DB" w:rsidRDefault="00A972DB" w:rsidP="00A972DB">
      <w:pPr>
        <w:rPr>
          <w:lang w:val="es-VE"/>
        </w:rPr>
      </w:pPr>
    </w:p>
    <w:p w14:paraId="315BF6EC" w14:textId="060C3537" w:rsidR="00A972DB" w:rsidRPr="00A972DB" w:rsidRDefault="00A972DB" w:rsidP="00A972DB">
      <w:pPr>
        <w:rPr>
          <w:b/>
          <w:bCs/>
          <w:lang w:val="es-VE"/>
        </w:rPr>
      </w:pPr>
      <w:r w:rsidRPr="00A972DB">
        <w:rPr>
          <w:b/>
          <w:bCs/>
          <w:lang w:val="es-VE"/>
        </w:rPr>
        <w:lastRenderedPageBreak/>
        <w:t>Consideraciones sobre el Manejo de Datos</w:t>
      </w:r>
    </w:p>
    <w:p w14:paraId="301C986C" w14:textId="77777777" w:rsidR="00A972DB" w:rsidRPr="00A972DB" w:rsidRDefault="00A972DB" w:rsidP="00A972DB">
      <w:pPr>
        <w:rPr>
          <w:lang w:val="es-VE"/>
        </w:rPr>
      </w:pPr>
      <w:r w:rsidRPr="00A972DB">
        <w:rPr>
          <w:lang w:val="es-VE"/>
        </w:rPr>
        <w:t xml:space="preserve">La integridad de los datos está asegurada mediante el uso de estructuras que derivan los rasgos </w:t>
      </w:r>
      <w:proofErr w:type="spellStart"/>
      <w:r w:rsidRPr="00A972DB">
        <w:rPr>
          <w:lang w:val="es-VE"/>
        </w:rPr>
        <w:t>Copy</w:t>
      </w:r>
      <w:proofErr w:type="spellEnd"/>
      <w:r w:rsidRPr="00A972DB">
        <w:rPr>
          <w:lang w:val="es-VE"/>
        </w:rPr>
        <w:t xml:space="preserve"> y Clone. Esto permite a Rust manejar los valores en memoria de forma eficiente y segura, respetando las reglas de </w:t>
      </w:r>
      <w:proofErr w:type="spellStart"/>
      <w:r w:rsidRPr="00A972DB">
        <w:rPr>
          <w:lang w:val="es-VE"/>
        </w:rPr>
        <w:t>Ownership</w:t>
      </w:r>
      <w:proofErr w:type="spellEnd"/>
      <w:r w:rsidRPr="00A972DB">
        <w:rPr>
          <w:lang w:val="es-VE"/>
        </w:rPr>
        <w:t xml:space="preserve"> sin incurrir en la complejidad de punteros adicionales. Este enfoque asegura que la tabla de símbolos y los tokens mantengan una sincronización precisa durante todo el ciclo de ejecución.</w:t>
      </w:r>
    </w:p>
    <w:p w14:paraId="044C8162" w14:textId="77777777" w:rsidR="00A972DB" w:rsidRDefault="00A972DB">
      <w:pPr>
        <w:rPr>
          <w:lang w:val="es-VE"/>
        </w:rPr>
      </w:pPr>
      <w:r>
        <w:rPr>
          <w:lang w:val="es-VE"/>
        </w:rPr>
        <w:br w:type="page"/>
      </w:r>
    </w:p>
    <w:p w14:paraId="54103529" w14:textId="7DF21011" w:rsidR="00A972DB" w:rsidRPr="00A972DB" w:rsidRDefault="00A972DB" w:rsidP="00A972DB">
      <w:pPr>
        <w:jc w:val="center"/>
        <w:rPr>
          <w:lang w:val="es-VE"/>
        </w:rPr>
      </w:pPr>
      <w:r w:rsidRPr="00A972DB">
        <w:rPr>
          <w:lang w:val="es-VE"/>
        </w:rPr>
        <w:lastRenderedPageBreak/>
        <w:t>Conclusion</w:t>
      </w:r>
    </w:p>
    <w:p w14:paraId="1C7DE610" w14:textId="78ED12A7" w:rsidR="00451B57" w:rsidRPr="00B92F1F" w:rsidRDefault="00A972DB" w:rsidP="00A972DB">
      <w:pPr>
        <w:rPr>
          <w:lang w:val="es-VE"/>
        </w:rPr>
      </w:pPr>
      <w:r w:rsidRPr="00A972DB">
        <w:rPr>
          <w:lang w:val="es-VE"/>
        </w:rPr>
        <w:t>La implementación propuesta no solo cumple con los requerimientos académicos, sino que optimiza el rendimiento mediante el uso de estructuras de datos estáticas. El sistema resultante es altamente eficiente, predecible y capaz de procesar expresiones complejas bajo un entorno de alta seguridad, demostrando una sólida aplicación de los lenguajes de bajo nivel.</w:t>
      </w:r>
    </w:p>
    <w:p w14:paraId="49E5428D" w14:textId="0FE6036D" w:rsidR="00B92F1F" w:rsidRDefault="00B92F1F">
      <w:pPr>
        <w:rPr>
          <w:lang w:val="es-VE"/>
        </w:rPr>
      </w:pPr>
    </w:p>
    <w:sectPr w:rsidR="00B92F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B59EE"/>
    <w:multiLevelType w:val="hybridMultilevel"/>
    <w:tmpl w:val="7AC45672"/>
    <w:lvl w:ilvl="0" w:tplc="4CF6E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04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1F"/>
    <w:rsid w:val="00145CD0"/>
    <w:rsid w:val="002C0B35"/>
    <w:rsid w:val="003643F4"/>
    <w:rsid w:val="004345F1"/>
    <w:rsid w:val="00451B57"/>
    <w:rsid w:val="005349EF"/>
    <w:rsid w:val="0059021D"/>
    <w:rsid w:val="00832F6E"/>
    <w:rsid w:val="00A972DB"/>
    <w:rsid w:val="00AA1827"/>
    <w:rsid w:val="00B92F1F"/>
    <w:rsid w:val="00C01FD1"/>
    <w:rsid w:val="00DC64BE"/>
    <w:rsid w:val="00FA1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4835D"/>
  <w15:chartTrackingRefBased/>
  <w15:docId w15:val="{543435FC-EC4E-466D-A77A-18D3EEC9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F1F"/>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Ttulo2">
    <w:name w:val="heading 2"/>
    <w:basedOn w:val="Normal"/>
    <w:next w:val="Normal"/>
    <w:link w:val="Ttulo2Car"/>
    <w:uiPriority w:val="9"/>
    <w:semiHidden/>
    <w:unhideWhenUsed/>
    <w:qFormat/>
    <w:rsid w:val="00B92F1F"/>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B92F1F"/>
    <w:pPr>
      <w:keepNext/>
      <w:keepLines/>
      <w:spacing w:before="160" w:after="80"/>
      <w:outlineLvl w:val="2"/>
    </w:pPr>
    <w:rPr>
      <w:rFonts w:eastAsiaTheme="majorEastAsia"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B92F1F"/>
    <w:pPr>
      <w:keepNext/>
      <w:keepLines/>
      <w:spacing w:before="80" w:after="40"/>
      <w:outlineLvl w:val="3"/>
    </w:pPr>
    <w:rPr>
      <w:rFonts w:eastAsiaTheme="majorEastAsia" w:cstheme="majorBidi"/>
      <w:i/>
      <w:iCs/>
      <w:color w:val="B3186D" w:themeColor="accent1" w:themeShade="BF"/>
    </w:rPr>
  </w:style>
  <w:style w:type="paragraph" w:styleId="Ttulo5">
    <w:name w:val="heading 5"/>
    <w:basedOn w:val="Normal"/>
    <w:next w:val="Normal"/>
    <w:link w:val="Ttulo5Car"/>
    <w:uiPriority w:val="9"/>
    <w:semiHidden/>
    <w:unhideWhenUsed/>
    <w:qFormat/>
    <w:rsid w:val="00B92F1F"/>
    <w:pPr>
      <w:keepNext/>
      <w:keepLines/>
      <w:spacing w:before="80" w:after="40"/>
      <w:outlineLvl w:val="4"/>
    </w:pPr>
    <w:rPr>
      <w:rFonts w:eastAsiaTheme="majorEastAsia" w:cstheme="majorBidi"/>
      <w:color w:val="B3186D" w:themeColor="accent1" w:themeShade="BF"/>
    </w:rPr>
  </w:style>
  <w:style w:type="paragraph" w:styleId="Ttulo6">
    <w:name w:val="heading 6"/>
    <w:basedOn w:val="Normal"/>
    <w:next w:val="Normal"/>
    <w:link w:val="Ttulo6Car"/>
    <w:uiPriority w:val="9"/>
    <w:semiHidden/>
    <w:unhideWhenUsed/>
    <w:qFormat/>
    <w:rsid w:val="00B92F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F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F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F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F1F"/>
    <w:rPr>
      <w:rFonts w:asciiTheme="majorHAnsi" w:eastAsiaTheme="majorEastAsia" w:hAnsiTheme="majorHAnsi" w:cstheme="majorBidi"/>
      <w:color w:val="B3186D" w:themeColor="accent1" w:themeShade="BF"/>
      <w:sz w:val="40"/>
      <w:szCs w:val="40"/>
    </w:rPr>
  </w:style>
  <w:style w:type="character" w:customStyle="1" w:styleId="Ttulo2Car">
    <w:name w:val="Título 2 Car"/>
    <w:basedOn w:val="Fuentedeprrafopredeter"/>
    <w:link w:val="Ttulo2"/>
    <w:uiPriority w:val="9"/>
    <w:semiHidden/>
    <w:rsid w:val="00B92F1F"/>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B92F1F"/>
    <w:rPr>
      <w:rFonts w:eastAsiaTheme="majorEastAsia" w:cstheme="majorBidi"/>
      <w:color w:val="B3186D" w:themeColor="accent1" w:themeShade="BF"/>
      <w:sz w:val="28"/>
      <w:szCs w:val="28"/>
    </w:rPr>
  </w:style>
  <w:style w:type="character" w:customStyle="1" w:styleId="Ttulo4Car">
    <w:name w:val="Título 4 Car"/>
    <w:basedOn w:val="Fuentedeprrafopredeter"/>
    <w:link w:val="Ttulo4"/>
    <w:uiPriority w:val="9"/>
    <w:semiHidden/>
    <w:rsid w:val="00B92F1F"/>
    <w:rPr>
      <w:rFonts w:eastAsiaTheme="majorEastAsia" w:cstheme="majorBidi"/>
      <w:i/>
      <w:iCs/>
      <w:color w:val="B3186D" w:themeColor="accent1" w:themeShade="BF"/>
    </w:rPr>
  </w:style>
  <w:style w:type="character" w:customStyle="1" w:styleId="Ttulo5Car">
    <w:name w:val="Título 5 Car"/>
    <w:basedOn w:val="Fuentedeprrafopredeter"/>
    <w:link w:val="Ttulo5"/>
    <w:uiPriority w:val="9"/>
    <w:semiHidden/>
    <w:rsid w:val="00B92F1F"/>
    <w:rPr>
      <w:rFonts w:eastAsiaTheme="majorEastAsia" w:cstheme="majorBidi"/>
      <w:color w:val="B3186D" w:themeColor="accent1" w:themeShade="BF"/>
    </w:rPr>
  </w:style>
  <w:style w:type="character" w:customStyle="1" w:styleId="Ttulo6Car">
    <w:name w:val="Título 6 Car"/>
    <w:basedOn w:val="Fuentedeprrafopredeter"/>
    <w:link w:val="Ttulo6"/>
    <w:uiPriority w:val="9"/>
    <w:semiHidden/>
    <w:rsid w:val="00B92F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F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F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F1F"/>
    <w:rPr>
      <w:rFonts w:eastAsiaTheme="majorEastAsia" w:cstheme="majorBidi"/>
      <w:color w:val="272727" w:themeColor="text1" w:themeTint="D8"/>
    </w:rPr>
  </w:style>
  <w:style w:type="paragraph" w:styleId="Ttulo">
    <w:name w:val="Title"/>
    <w:basedOn w:val="Normal"/>
    <w:next w:val="Normal"/>
    <w:link w:val="TtuloCar"/>
    <w:uiPriority w:val="10"/>
    <w:qFormat/>
    <w:rsid w:val="00B92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F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F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F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F1F"/>
    <w:pPr>
      <w:spacing w:before="160"/>
      <w:jc w:val="center"/>
    </w:pPr>
    <w:rPr>
      <w:i/>
      <w:iCs/>
      <w:color w:val="404040" w:themeColor="text1" w:themeTint="BF"/>
    </w:rPr>
  </w:style>
  <w:style w:type="character" w:customStyle="1" w:styleId="CitaCar">
    <w:name w:val="Cita Car"/>
    <w:basedOn w:val="Fuentedeprrafopredeter"/>
    <w:link w:val="Cita"/>
    <w:uiPriority w:val="29"/>
    <w:rsid w:val="00B92F1F"/>
    <w:rPr>
      <w:i/>
      <w:iCs/>
      <w:color w:val="404040" w:themeColor="text1" w:themeTint="BF"/>
    </w:rPr>
  </w:style>
  <w:style w:type="paragraph" w:styleId="Prrafodelista">
    <w:name w:val="List Paragraph"/>
    <w:basedOn w:val="Normal"/>
    <w:uiPriority w:val="34"/>
    <w:qFormat/>
    <w:rsid w:val="00B92F1F"/>
    <w:pPr>
      <w:ind w:left="720"/>
      <w:contextualSpacing/>
    </w:pPr>
  </w:style>
  <w:style w:type="character" w:styleId="nfasisintenso">
    <w:name w:val="Intense Emphasis"/>
    <w:basedOn w:val="Fuentedeprrafopredeter"/>
    <w:uiPriority w:val="21"/>
    <w:qFormat/>
    <w:rsid w:val="00B92F1F"/>
    <w:rPr>
      <w:i/>
      <w:iCs/>
      <w:color w:val="B3186D" w:themeColor="accent1" w:themeShade="BF"/>
    </w:rPr>
  </w:style>
  <w:style w:type="paragraph" w:styleId="Citadestacada">
    <w:name w:val="Intense Quote"/>
    <w:basedOn w:val="Normal"/>
    <w:next w:val="Normal"/>
    <w:link w:val="CitadestacadaCar"/>
    <w:uiPriority w:val="30"/>
    <w:qFormat/>
    <w:rsid w:val="00B92F1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CitadestacadaCar">
    <w:name w:val="Cita destacada Car"/>
    <w:basedOn w:val="Fuentedeprrafopredeter"/>
    <w:link w:val="Citadestacada"/>
    <w:uiPriority w:val="30"/>
    <w:rsid w:val="00B92F1F"/>
    <w:rPr>
      <w:i/>
      <w:iCs/>
      <w:color w:val="B3186D" w:themeColor="accent1" w:themeShade="BF"/>
    </w:rPr>
  </w:style>
  <w:style w:type="character" w:styleId="Referenciaintensa">
    <w:name w:val="Intense Reference"/>
    <w:basedOn w:val="Fuentedeprrafopredeter"/>
    <w:uiPriority w:val="32"/>
    <w:qFormat/>
    <w:rsid w:val="00B92F1F"/>
    <w:rPr>
      <w:b/>
      <w:bCs/>
      <w:smallCaps/>
      <w:color w:val="B3186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396</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 Rodriguez</dc:creator>
  <cp:keywords/>
  <dc:description/>
  <cp:lastModifiedBy>Auri Rodriguez</cp:lastModifiedBy>
  <cp:revision>2</cp:revision>
  <dcterms:created xsi:type="dcterms:W3CDTF">2026-07-17T04:55:00Z</dcterms:created>
  <dcterms:modified xsi:type="dcterms:W3CDTF">2026-07-17T04:55:00Z</dcterms:modified>
</cp:coreProperties>
</file>