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rFonts w:ascii="Arial" w:cs="Arial" w:eastAsia="Arial" w:hAnsi="Arial"/>
          <w:b/>
          <w:bCs/>
          <w:color w:val="888888"/>
          <w:sz w:val="28"/>
          <w:szCs w:val="28"/>
        </w:rPr>
        <w:t xml:space="preserve">CAPÍTULO V</w:t>
      </w:r>
    </w:p>
    <w:p>
      <w:pPr>
        <w:spacing w:after="80" w:before="80"/>
        <w:jc w:val="center"/>
      </w:pPr>
      <w:r>
        <w:rPr>
          <w:rFonts w:ascii="Arial" w:cs="Arial" w:eastAsia="Arial" w:hAnsi="Arial"/>
          <w:b/>
          <w:bCs/>
          <w:color w:val="1F4E79"/>
          <w:sz w:val="50"/>
          <w:szCs w:val="50"/>
        </w:rPr>
        <w:t xml:space="preserve">PRUEBAS Y VALIDACIÓN</w:t>
      </w:r>
    </w:p>
    <w:p>
      <w:pPr>
        <w:pBdr>
          <w:bottom w:val="single" w:color="2E75B6" w:sz="6" w:space="10"/>
        </w:pBdr>
        <w:spacing w:after="80" w:before="80"/>
        <w:jc w:val="center"/>
      </w:pPr>
      <w:r>
        <w:rPr>
          <w:rFonts w:ascii="Arial" w:cs="Arial" w:eastAsia="Arial" w:hAnsi="Arial"/>
          <w:sz w:val="22"/>
          <w:szCs w:val="22"/>
        </w:rPr>
        <w:t xml:space="preserve"> </w:t>
      </w:r>
    </w:p>
    <w:p>
      <w:pPr>
        <w:spacing w:after="1440" w:before="200"/>
        <w:jc w:val="center"/>
      </w:pPr>
      <w:r>
        <w:rPr>
          <w:rFonts w:ascii="Arial" w:cs="Arial" w:eastAsia="Arial" w:hAnsi="Arial"/>
          <w:i/>
          <w:iCs/>
          <w:color w:val="444444"/>
          <w:sz w:val="26"/>
          <w:szCs w:val="26"/>
        </w:rPr>
        <w:t xml:space="preserve">Optimización Integral de Redes Kubernetes: Comparativa de CNIs,
Automatización de NetworkPolicies y Reducción de Sobredimensionamientos</w:t>
      </w:r>
    </w:p>
    <w:p>
      <w:pPr>
        <w:spacing w:after="80" w:before="0"/>
        <w:jc w:val="center"/>
      </w:pPr>
      <w:r>
        <w:rPr>
          <w:rFonts w:ascii="Arial" w:cs="Arial" w:eastAsia="Arial" w:hAnsi="Arial"/>
          <w:color w:val="555555"/>
          <w:sz w:val="22"/>
          <w:szCs w:val="22"/>
        </w:rPr>
        <w:t xml:space="preserve">Holman Audrey Alba Castro  |  Duwan Estiven Sierra Guerrero</w:t>
      </w:r>
    </w:p>
    <w:p>
      <w:pPr>
        <w:spacing w:after="80" w:before="0"/>
        <w:jc w:val="center"/>
      </w:pPr>
      <w:r>
        <w:rPr>
          <w:rFonts w:ascii="Arial" w:cs="Arial" w:eastAsia="Arial" w:hAnsi="Arial"/>
          <w:color w:val="555555"/>
          <w:sz w:val="22"/>
          <w:szCs w:val="22"/>
        </w:rPr>
        <w:t xml:space="preserve">Director: Gerardo Alberto Castang Montiel</w:t>
      </w:r>
    </w:p>
    <w:p>
      <w:pPr>
        <w:spacing w:after="80" w:before="0"/>
        <w:jc w:val="center"/>
      </w:pPr>
      <w:r>
        <w:rPr>
          <w:rFonts w:ascii="Arial" w:cs="Arial" w:eastAsia="Arial" w:hAnsi="Arial"/>
          <w:color w:val="555555"/>
          <w:sz w:val="22"/>
          <w:szCs w:val="22"/>
        </w:rPr>
        <w:t xml:space="preserve">Universidad Distrital Francisco José de Caldas — Facultad Tecnológica</w:t>
      </w:r>
    </w:p>
    <w:p>
      <w:r>
        <w:br w:type="page"/>
      </w:r>
    </w:p>
    <w:p>
      <w:pPr>
        <w:pStyle w:val="Heading1"/>
        <w:pBdr>
          <w:bottom w:val="single" w:color="2E75B6" w:sz="6" w:space="6"/>
        </w:pBdr>
        <w:spacing w:after="200" w:before="360"/>
      </w:pPr>
      <w:r>
        <w:rPr>
          <w:rFonts w:ascii="Arial" w:cs="Arial" w:eastAsia="Arial" w:hAnsi="Arial"/>
          <w:b/>
          <w:bCs/>
          <w:color w:val="1F4E79"/>
          <w:sz w:val="32"/>
          <w:szCs w:val="32"/>
        </w:rPr>
        <w:t xml:space="preserve">5. Pruebas y Validación</w:t>
      </w:r>
    </w:p>
    <w:p>
      <w:pPr>
        <w:spacing w:after="140" w:before="80" w:line="360"/>
        <w:jc w:val="both"/>
      </w:pPr>
      <w:r>
        <w:rPr>
          <w:rFonts w:ascii="Arial" w:cs="Arial" w:eastAsia="Arial" w:hAnsi="Arial"/>
          <w:color w:val="000000"/>
          <w:sz w:val="22"/>
          <w:szCs w:val="22"/>
        </w:rPr>
        <w:t xml:space="preserve">Si el diseño describe el plan y la implementación lo ejecuta, las pruebas son el momento de la verdad: el instante en que el sistema se somete a condiciones reales y se mide si el comportamiento que se observa coincide con el que se esperaba. En investigación científica y en ingeniería telemática, un resultado sin evidencia de pruebas rigurosas no tiene valor académico ni práctico.</w:t>
      </w:r>
    </w:p>
    <w:p>
      <w:pPr>
        <w:spacing w:after="140" w:before="80" w:line="360"/>
        <w:jc w:val="both"/>
      </w:pPr>
      <w:r>
        <w:rPr>
          <w:rFonts w:ascii="Arial" w:cs="Arial" w:eastAsia="Arial" w:hAnsi="Arial"/>
          <w:color w:val="000000"/>
          <w:sz w:val="22"/>
          <w:szCs w:val="22"/>
        </w:rPr>
        <w:t xml:space="preserve">Este capítulo documenta la metodología, los protocolos, los escenarios y los resultados de las pruebas realizadas sobre los cuatro objetivos específicos del proyecto. Se describen las pruebas de rendimiento de red (QoS), las pruebas de seguridad con Network Policies, las pruebas de eficiencia computacional de los agentes CNI y la validación funcional del prototipo recomendador. Para cada tipo de prueba se explica por qué el método elegido es el correcto desde la perspectiva telemática, y cómo la automatización mediante CronJobs y GitOps garantizó que los resultados sean reproducibles y no dependan de factores humanos.</w:t>
      </w:r>
    </w:p>
    <w:p>
      <w:pPr>
        <w:spacing w:after="140" w:before="80" w:line="360"/>
        <w:jc w:val="both"/>
      </w:pPr>
      <w:r>
        <w:rPr>
          <w:rFonts w:ascii="Arial" w:cs="Arial" w:eastAsia="Arial" w:hAnsi="Arial"/>
          <w:color w:val="000000"/>
          <w:sz w:val="22"/>
          <w:szCs w:val="22"/>
        </w:rPr>
        <w:t xml:space="preserve">Un principio fundamental que guió todas las pruebas fue el control de variables: en cada experimento, se modificó únicamente el CNI bajo evaluación, manteniendo constantes el hardware, el sistema operativo, la versión de Kubernetes, el tamaño de los paquetes, la duración de las pruebas y las condiciones de red. Este control es lo que permite atribuir las diferencias en los resultados al CNI y no a factores externos.</w:t>
      </w:r>
    </w:p>
    <w:p>
      <w:pPr>
        <w:spacing w:after="120" w:before="120"/>
      </w:pPr>
      <w:r>
        <w:t xml:space="preserve"/>
      </w:r>
    </w:p>
    <w:p>
      <w:pPr>
        <w:pStyle w:val="Heading2"/>
        <w:spacing w:after="140" w:before="280"/>
      </w:pPr>
      <w:r>
        <w:rPr>
          <w:rFonts w:ascii="Arial" w:cs="Arial" w:eastAsia="Arial" w:hAnsi="Arial"/>
          <w:b/>
          <w:bCs/>
          <w:color w:val="2E75B6"/>
          <w:sz w:val="26"/>
          <w:szCs w:val="26"/>
        </w:rPr>
        <w:t xml:space="preserve">5.1 Metodología General de Pruebas</w:t>
      </w:r>
    </w:p>
    <w:p>
      <w:pPr>
        <w:spacing w:after="140" w:before="80" w:line="360"/>
        <w:jc w:val="both"/>
      </w:pPr>
      <w:r>
        <w:rPr>
          <w:rFonts w:ascii="Arial" w:cs="Arial" w:eastAsia="Arial" w:hAnsi="Arial"/>
          <w:color w:val="000000"/>
          <w:sz w:val="22"/>
          <w:szCs w:val="22"/>
        </w:rPr>
        <w:t xml:space="preserve">Antes de describir cada tipo de prueba en particular, es importante establecer el marco metodológico que las unifica. La metodología de pruebas del proyecto se diseñó siguiendo tres principios: control de condiciones, automatización y muestreo estadístico suficiente.</w:t>
      </w:r>
    </w:p>
    <w:p>
      <w:pPr>
        <w:spacing w:after="120" w:before="120"/>
      </w:pPr>
      <w:r>
        <w:t xml:space="preserve"/>
      </w:r>
    </w:p>
    <w:p>
      <w:pPr>
        <w:pStyle w:val="Heading3"/>
        <w:spacing w:after="100" w:before="220"/>
      </w:pPr>
      <w:r>
        <w:rPr>
          <w:rFonts w:ascii="Arial" w:cs="Arial" w:eastAsia="Arial" w:hAnsi="Arial"/>
          <w:b/>
          <w:bCs/>
          <w:color w:val="404040"/>
          <w:sz w:val="24"/>
          <w:szCs w:val="24"/>
        </w:rPr>
        <w:t xml:space="preserve">5.1.1 Control de Condiciones: el Escenario de Referencia (Baseline)</w:t>
      </w:r>
    </w:p>
    <w:p>
      <w:pPr>
        <w:spacing w:after="140" w:before="80" w:line="360"/>
        <w:jc w:val="both"/>
      </w:pPr>
      <w:r>
        <w:rPr>
          <w:rFonts w:ascii="Arial" w:cs="Arial" w:eastAsia="Arial" w:hAnsi="Arial"/>
          <w:color w:val="000000"/>
          <w:sz w:val="22"/>
          <w:szCs w:val="22"/>
        </w:rPr>
        <w:t xml:space="preserve">Para que una comparación entre cuatro tecnologías sea justa, todas deben ser evaluadas bajo exactamente las mismas condiciones. En el contexto de este proyecto, eso significa que cuando se prueba Cilium, el entorno debe ser idéntico al que existía cuando se probó Flannel la semana anterior.</w:t>
      </w:r>
    </w:p>
    <w:p>
      <w:pPr>
        <w:spacing w:after="140" w:before="80" w:line="360"/>
        <w:jc w:val="both"/>
      </w:pPr>
      <w:r>
        <w:rPr>
          <w:rFonts w:ascii="Arial" w:cs="Arial" w:eastAsia="Arial" w:hAnsi="Arial"/>
          <w:color w:val="000000"/>
          <w:sz w:val="22"/>
          <w:szCs w:val="22"/>
        </w:rPr>
        <w:t xml:space="preserve">Para lograr esto, se definió un escenario de referencia (baseline) con los siguientes parámetros fijos para todas las pruebas de todos los CNIs:</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Parámetro Controlado</w:t>
            </w:r>
          </w:p>
        </w:tc>
        <w:tc>
          <w:tcPr>
            <w:tcW w:type="dxa" w:w="6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Valor Fijo para Todo el Experimento</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Tipo de instancia cloud</w:t>
            </w:r>
          </w:p>
        </w:tc>
        <w:tc>
          <w:tcPr>
            <w:tcW w:type="dxa" w:w="60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DigitalOcean Droplet — Ubuntu 22.04 LTS, 2 vCPU, 4 GB RAM para nodos Worker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Versión de Kubernetes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K3s v1.28.x — la misma versión en todos los ciclos de prueba</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Región del datacenter</w:t>
            </w:r>
          </w:p>
        </w:tc>
        <w:tc>
          <w:tcPr>
            <w:tcW w:type="dxa" w:w="60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NYC3 (New York) — mismo datacenter para todos los nodos en todas las pruebas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Red entre nodos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VPC privada DigitalOcean — MTU 1500 bytes, sin tráfico externo</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Duración de cada prueba iperf3</w:t>
            </w:r>
          </w:p>
        </w:tc>
        <w:tc>
          <w:tcPr>
            <w:tcW w:type="dxa" w:w="60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300 segundos (5 minutos) por corrida — tiempo suficiente para estado estable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Número de corridas por CNI</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5 corridas independientes — permite calcular promedios y detectar variabilidad</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Horario de ejecución</w:t>
            </w:r>
          </w:p>
        </w:tc>
        <w:tc>
          <w:tcPr>
            <w:tcW w:type="dxa" w:w="60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9:00 AM a 5:00 PM hora Colombia — evita throttling de madrugada en el datacenter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Protocolo de red bajo prueba</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TCP — el protocolo dominante en aplicaciones empresariales reales</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Herramienta de throughput</w:t>
            </w:r>
          </w:p>
        </w:tc>
        <w:tc>
          <w:tcPr>
            <w:tcW w:type="dxa" w:w="60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iperf3 v3.12 — misma versión en cliente y servidor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Herramienta de latencia</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Script Python personalizado con socket.connect() — 30 muestras por corrida</w:t>
            </w:r>
          </w:p>
        </w:tc>
      </w:tr>
    </w:tbl>
    <w:p>
      <w:pPr>
        <w:spacing w:after="160" w:before="60"/>
        <w:jc w:val="center"/>
      </w:pPr>
      <w:r>
        <w:rPr>
          <w:rFonts w:ascii="Arial" w:cs="Arial" w:eastAsia="Arial" w:hAnsi="Arial"/>
          <w:i/>
          <w:iCs/>
          <w:color w:val="555555"/>
          <w:sz w:val="20"/>
          <w:szCs w:val="20"/>
        </w:rPr>
        <w:t xml:space="preserve">Tabla 5.1 — Parámetros del escenario de referencia (baseline) para todas las pruebas</w:t>
      </w:r>
    </w:p>
    <w:p>
      <w:pPr>
        <w:spacing w:after="120" w:before="120"/>
      </w:pPr>
      <w:r>
        <w:t xml:space="preserve"/>
      </w:r>
    </w:p>
    <w:p>
      <w:pPr>
        <w:pStyle w:val="Heading3"/>
        <w:spacing w:after="100" w:before="220"/>
      </w:pPr>
      <w:r>
        <w:rPr>
          <w:rFonts w:ascii="Arial" w:cs="Arial" w:eastAsia="Arial" w:hAnsi="Arial"/>
          <w:b/>
          <w:bCs/>
          <w:color w:val="404040"/>
          <w:sz w:val="24"/>
          <w:szCs w:val="24"/>
        </w:rPr>
        <w:t xml:space="preserve">5.1.2 Automatización: de la Prueba Manual a la Prueba Orquestada</w:t>
      </w:r>
    </w:p>
    <w:p>
      <w:pPr>
        <w:spacing w:after="140" w:before="80" w:line="360"/>
        <w:jc w:val="both"/>
      </w:pPr>
      <w:r>
        <w:rPr>
          <w:rFonts w:ascii="Arial" w:cs="Arial" w:eastAsia="Arial" w:hAnsi="Arial"/>
          <w:color w:val="000000"/>
          <w:sz w:val="22"/>
          <w:szCs w:val="22"/>
        </w:rPr>
        <w:t xml:space="preserve">Una de las decisiones más importantes de la metodología fue eliminar por completo la intervención humana en la ejecución de las pruebas. Las pruebas manuales tienen un problema fundamental: dependen del momento exacto en que el investigador las ejecuta, su velocidad para iniciar los comandos, posibles distracciones y errores humanos. Dos investigadores ejecutando la misma prueba manual raramente obtendrán resultados idénticos.</w:t>
      </w:r>
    </w:p>
    <w:p>
      <w:pPr>
        <w:spacing w:after="140" w:before="80" w:line="360"/>
        <w:jc w:val="both"/>
      </w:pPr>
      <w:r>
        <w:rPr>
          <w:rFonts w:ascii="Arial" w:cs="Arial" w:eastAsia="Arial" w:hAnsi="Arial"/>
          <w:color w:val="000000"/>
          <w:sz w:val="22"/>
          <w:szCs w:val="22"/>
        </w:rPr>
        <w:t xml:space="preserve">La solución implementada fue orquestar todas las pruebas mediante CronJobs de Kubernetes. Un CronJob es una tarea que el sistema ejecuta automáticamente según un horario predefinido, sin intervención humana. La secuencia de ejecución automática en cada ciclo de 30 minutos fue:</w:t>
      </w:r>
    </w:p>
    <w:p>
      <w:pPr>
        <w:pStyle w:val="ListParagraph"/>
        <w:numPr>
          <w:ilvl w:val="0"/>
          <w:numId w:val="2"/>
        </w:numPr>
        <w:spacing w:after="60" w:before="60"/>
      </w:pPr>
      <w:r>
        <w:rPr>
          <w:rFonts w:ascii="Arial" w:cs="Arial" w:eastAsia="Arial" w:hAnsi="Arial"/>
          <w:sz w:val="22"/>
          <w:szCs w:val="22"/>
        </w:rPr>
        <w:t xml:space="preserve">El CronJob del cliente iperf3 se activa. Kubernetes crea el Pod cliente en un nodo diferente al servidor (garantizado por podAntiAffinity).</w:t>
      </w:r>
    </w:p>
    <w:p>
      <w:pPr>
        <w:pStyle w:val="ListParagraph"/>
        <w:numPr>
          <w:ilvl w:val="0"/>
          <w:numId w:val="2"/>
        </w:numPr>
        <w:spacing w:after="60" w:before="60"/>
      </w:pPr>
      <w:r>
        <w:rPr>
          <w:rFonts w:ascii="Arial" w:cs="Arial" w:eastAsia="Arial" w:hAnsi="Arial"/>
          <w:sz w:val="22"/>
          <w:szCs w:val="22"/>
        </w:rPr>
        <w:t xml:space="preserve">El Pod cliente ejecuta iperf3 durante 300 segundos y guarda el resultado JSON en el repositorio K8S-CNI-Results via la API de GitHub.</w:t>
      </w:r>
    </w:p>
    <w:p>
      <w:pPr>
        <w:pStyle w:val="ListParagraph"/>
        <w:numPr>
          <w:ilvl w:val="0"/>
          <w:numId w:val="2"/>
        </w:numPr>
        <w:spacing w:after="60" w:before="60"/>
      </w:pPr>
      <w:r>
        <w:rPr>
          <w:rFonts w:ascii="Arial" w:cs="Arial" w:eastAsia="Arial" w:hAnsi="Arial"/>
          <w:sz w:val="22"/>
          <w:szCs w:val="22"/>
        </w:rPr>
        <w:t xml:space="preserve">Simultáneamente, el CronJob del cliente de latencia ejecuta 30 mediciones de TCP connect y guarda su resultado JSON.</w:t>
      </w:r>
    </w:p>
    <w:p>
      <w:pPr>
        <w:pStyle w:val="ListParagraph"/>
        <w:numPr>
          <w:ilvl w:val="0"/>
          <w:numId w:val="2"/>
        </w:numPr>
        <w:spacing w:after="60" w:before="60"/>
      </w:pPr>
      <w:r>
        <w:rPr>
          <w:rFonts w:ascii="Arial" w:cs="Arial" w:eastAsia="Arial" w:hAnsi="Arial"/>
          <w:sz w:val="22"/>
          <w:szCs w:val="22"/>
        </w:rPr>
        <w:t xml:space="preserve">Al finalizar ambas pruebas, el Grafana Exporter consulta Prometheus para extraer el consumo de CPU y RAM del agente CNI durante el período de la prueba.</w:t>
      </w:r>
    </w:p>
    <w:p>
      <w:pPr>
        <w:pStyle w:val="ListParagraph"/>
        <w:numPr>
          <w:ilvl w:val="0"/>
          <w:numId w:val="2"/>
        </w:numPr>
        <w:spacing w:after="60" w:before="60"/>
      </w:pPr>
      <w:r>
        <w:rPr>
          <w:rFonts w:ascii="Arial" w:cs="Arial" w:eastAsia="Arial" w:hAnsi="Arial"/>
          <w:sz w:val="22"/>
          <w:szCs w:val="22"/>
        </w:rPr>
        <w:t xml:space="preserve">El procesador.js se ejecuta automáticamente y actualiza el archivo cni-data.json con los nuevos datos procesados y el ranking MCDA actualizado.</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¿Por qué 5 corridas y no 1 o 100?</w:t>
            </w:r>
          </w:p>
        </w:tc>
      </w:tr>
      <w:tr>
        <w:tc>
          <w:tcPr>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jc w:val="both"/>
            </w:pPr>
            <w:r>
              <w:rPr>
                <w:rFonts w:ascii="Arial" w:cs="Arial" w:eastAsia="Arial" w:hAnsi="Arial"/>
                <w:sz w:val="21"/>
                <w:szCs w:val="21"/>
              </w:rPr>
              <w:t xml:space="preserve">La cantidad de corridas necesarias para obtener resultados estadísticamente confiables depende de la variabilidad del entorno. En un entorno de nube pública, hay variabilidad inherente: el servidor comparte recursos físicos con otros clientes del proveedor, y ocasionalmente hay picos de carga que afectan las mediciones.</w:t>
            </w:r>
          </w:p>
        </w:tc>
      </w:tr>
      <w:tr>
        <w:tc>
          <w:tcPr>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jc w:val="both"/>
            </w:pPr>
            <w:r>
              <w:rPr>
                <w:rFonts w:ascii="Arial" w:cs="Arial" w:eastAsia="Arial" w:hAnsi="Arial"/>
                <w:sz w:val="21"/>
                <w:szCs w:val="21"/>
              </w:rPr>
              <w:t xml:space="preserve">Con 1 corrida, un único evento anómalo puede dominar completamente el resultado. Con 100 corridas, el tiempo de prueba se vuelve imprácticamente largo (varios días por CNI). Con 5 corridas bien distribuidas en el tiempo, el algoritmo IQR puede identificar y descartar la corrida anómala si ocurre, y el promedio de las 4 restantes es estadísticamente representativo.</w:t>
            </w:r>
          </w:p>
        </w:tc>
      </w:tr>
      <w:tr>
        <w:tc>
          <w:tcPr>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jc w:val="both"/>
            </w:pPr>
            <w:r>
              <w:rPr>
                <w:rFonts w:ascii="Arial" w:cs="Arial" w:eastAsia="Arial" w:hAnsi="Arial"/>
                <w:sz w:val="21"/>
                <w:szCs w:val="21"/>
              </w:rPr>
              <w:t xml:space="preserve">Este balance entre rigor estadístico y viabilidad operativa es una decisión metodológica estándar en la investigación de redes en entornos cloud, como documentan Kang et al. (2021) y Koukis et al. (2024) en sus propios estudios comparativos de CNIs [7, 8].</w:t>
            </w:r>
          </w:p>
        </w:tc>
      </w:tr>
    </w:tbl>
    <w:p>
      <w:r>
        <w:br w:type="page"/>
      </w:r>
    </w:p>
    <w:p>
      <w:pPr>
        <w:pStyle w:val="Heading2"/>
        <w:spacing w:after="140" w:before="280"/>
      </w:pPr>
      <w:r>
        <w:rPr>
          <w:rFonts w:ascii="Arial" w:cs="Arial" w:eastAsia="Arial" w:hAnsi="Arial"/>
          <w:b/>
          <w:bCs/>
          <w:color w:val="2E75B6"/>
          <w:sz w:val="26"/>
          <w:szCs w:val="26"/>
        </w:rPr>
        <w:t xml:space="preserve">5.2 Pruebas de Rendimiento de Red — Objetivo Específico 1</w:t>
      </w:r>
    </w:p>
    <w:p>
      <w:pPr>
        <w:spacing w:after="140" w:before="80" w:line="360"/>
        <w:jc w:val="both"/>
      </w:pPr>
      <w:r>
        <w:rPr>
          <w:rFonts w:ascii="Arial" w:cs="Arial" w:eastAsia="Arial" w:hAnsi="Arial"/>
          <w:color w:val="000000"/>
          <w:sz w:val="22"/>
          <w:szCs w:val="22"/>
        </w:rPr>
        <w:t xml:space="preserve">El primer objetivo específico del proyecto es evaluar cuantitativamente el rendimiento de los cuatro CNIs mediante pruebas controladas de latencia, throughput y uso de recursos. Esta sección describe en detalle los protocolos de prueba y los resultados obtenidos para cada CNI.</w:t>
      </w:r>
    </w:p>
    <w:p>
      <w:pPr>
        <w:spacing w:after="120" w:before="120"/>
      </w:pPr>
      <w:r>
        <w:t xml:space="preserve"/>
      </w:r>
    </w:p>
    <w:p>
      <w:pPr>
        <w:pStyle w:val="Heading3"/>
        <w:spacing w:after="100" w:before="220"/>
      </w:pPr>
      <w:r>
        <w:rPr>
          <w:rFonts w:ascii="Arial" w:cs="Arial" w:eastAsia="Arial" w:hAnsi="Arial"/>
          <w:b/>
          <w:bCs/>
          <w:color w:val="404040"/>
          <w:sz w:val="24"/>
          <w:szCs w:val="24"/>
        </w:rPr>
        <w:t xml:space="preserve">5.2.1 Protocolo de Prueba de Throughput con iperf3</w:t>
      </w:r>
    </w:p>
    <w:p>
      <w:pPr>
        <w:spacing w:after="140" w:before="80" w:line="360"/>
        <w:jc w:val="both"/>
      </w:pPr>
      <w:r>
        <w:rPr>
          <w:rFonts w:ascii="Arial" w:cs="Arial" w:eastAsia="Arial" w:hAnsi="Arial"/>
          <w:color w:val="000000"/>
          <w:sz w:val="22"/>
          <w:szCs w:val="22"/>
        </w:rPr>
        <w:t xml:space="preserve">iperf3 es la herramienta de referencia para medir el throughput máximo sostenido de una red TCP. Funciona estableciendo una conexión entre un proceso servidor y un proceso cliente, y el cliente envía datos lo más rápido que la red permite durante el tiempo configurado. Al final, reporta cuántos bits por segundo logró transferir de manera efectiva.</w:t>
      </w:r>
    </w:p>
    <w:p>
      <w:pPr>
        <w:spacing w:after="140" w:before="80" w:line="360"/>
        <w:jc w:val="both"/>
      </w:pPr>
      <w:r>
        <w:rPr>
          <w:rFonts w:ascii="Arial" w:cs="Arial" w:eastAsia="Arial" w:hAnsi="Arial"/>
          <w:color w:val="000000"/>
          <w:sz w:val="22"/>
          <w:szCs w:val="22"/>
        </w:rPr>
        <w:t xml:space="preserve">La diferencia entre el throughput del sender (el que envía) y el throughput del receiver (el que recibe) es un indicador importante: si hay una diferencia significativa, significa que paquetes se están perdiendo en tránsito. Las retransmisiones TCP son el mecanismo que compensa esta pérdida, pero a costa de tiempo y recursos adicionales.</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D4D4D4"/>
                <w:sz w:val="18"/>
                <w:szCs w:val="18"/>
              </w:rPr>
              <w:t xml:space="preserve"># Comando iperf3 ejecutado por el CronJob cliente</w:t>
            </w:r>
          </w:p>
          <w:p>
            <w:r>
              <w:rPr>
                <w:rFonts w:ascii="Courier New" w:cs="Courier New" w:eastAsia="Courier New" w:hAnsi="Courier New"/>
                <w:color w:val="D4D4D4"/>
                <w:sz w:val="18"/>
                <w:szCs w:val="18"/>
              </w:rPr>
              <w:t xml:space="preserve"># -c: dirección del servidor  -t: duración 300s  -J: formato JSON</w:t>
            </w:r>
          </w:p>
          <w:p>
            <w:r>
              <w:rPr>
                <w:rFonts w:ascii="Courier New" w:cs="Courier New" w:eastAsia="Courier New" w:hAnsi="Courier New"/>
                <w:color w:val="D4D4D4"/>
                <w:sz w:val="18"/>
                <w:szCs w:val="18"/>
              </w:rPr>
              <w:t xml:space="preserve"># -P: streams paralelos (1 = un solo flujo TCP, más representativo)</w:t>
            </w:r>
          </w:p>
          <w:p>
            <w:r>
              <w:rPr>
                <w:rFonts w:ascii="Courier New" w:cs="Courier New" w:eastAsia="Courier New" w:hAnsi="Courier New"/>
                <w:color w:val="D4D4D4"/>
                <w:sz w:val="18"/>
                <w:szCs w:val="18"/>
              </w:rPr>
              <w:t xml:space="preserve">iperf3 -c iperf-server-svc.cni-benchmark.svc.cluster.local \</w:t>
            </w:r>
          </w:p>
          <w:p>
            <w:r>
              <w:rPr>
                <w:rFonts w:ascii="Courier New" w:cs="Courier New" w:eastAsia="Courier New" w:hAnsi="Courier New"/>
                <w:color w:val="D4D4D4"/>
                <w:sz w:val="18"/>
                <w:szCs w:val="18"/>
              </w:rPr>
              <w:t xml:space="preserve">       -t 300 \</w:t>
            </w:r>
          </w:p>
          <w:p>
            <w:r>
              <w:rPr>
                <w:rFonts w:ascii="Courier New" w:cs="Courier New" w:eastAsia="Courier New" w:hAnsi="Courier New"/>
                <w:color w:val="D4D4D4"/>
                <w:sz w:val="18"/>
                <w:szCs w:val="18"/>
              </w:rPr>
              <w:t xml:space="preserve">       -J \</w:t>
            </w:r>
          </w:p>
          <w:p>
            <w:r>
              <w:rPr>
                <w:rFonts w:ascii="Courier New" w:cs="Courier New" w:eastAsia="Courier New" w:hAnsi="Courier New"/>
                <w:color w:val="D4D4D4"/>
                <w:sz w:val="18"/>
                <w:szCs w:val="18"/>
              </w:rPr>
              <w:t xml:space="preserve">       -P 1 \</w:t>
            </w:r>
          </w:p>
          <w:p>
            <w:r>
              <w:rPr>
                <w:rFonts w:ascii="Courier New" w:cs="Courier New" w:eastAsia="Courier New" w:hAnsi="Courier New"/>
                <w:color w:val="D4D4D4"/>
                <w:sz w:val="18"/>
                <w:szCs w:val="18"/>
              </w:rPr>
              <w:t xml:space="preserve">       &gt; /results/throughput-$(date +%Y%m%d_%H%M%S)-${CNI_NAME}.json</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El output JSON incluye:</w:t>
            </w:r>
          </w:p>
          <w:p>
            <w:r>
              <w:rPr>
                <w:rFonts w:ascii="Courier New" w:cs="Courier New" w:eastAsia="Courier New" w:hAnsi="Courier New"/>
                <w:color w:val="D4D4D4"/>
                <w:sz w:val="18"/>
                <w:szCs w:val="18"/>
              </w:rPr>
              <w:t xml:space="preserve"># - bits_per_second (sender): throughput desde la perspectiva del emisor</w:t>
            </w:r>
          </w:p>
          <w:p>
            <w:r>
              <w:rPr>
                <w:rFonts w:ascii="Courier New" w:cs="Courier New" w:eastAsia="Courier New" w:hAnsi="Courier New"/>
                <w:color w:val="D4D4D4"/>
                <w:sz w:val="18"/>
                <w:szCs w:val="18"/>
              </w:rPr>
              <w:t xml:space="preserve"># - bits_per_second (receiver): throughput real recibido</w:t>
            </w:r>
          </w:p>
          <w:p>
            <w:r>
              <w:rPr>
                <w:rFonts w:ascii="Courier New" w:cs="Courier New" w:eastAsia="Courier New" w:hAnsi="Courier New"/>
                <w:color w:val="D4D4D4"/>
                <w:sz w:val="18"/>
                <w:szCs w:val="18"/>
              </w:rPr>
              <w:t xml:space="preserve"># - retransmits: número de paquetes TCP que debieron reenviarse</w:t>
            </w:r>
          </w:p>
          <w:p>
            <w:r>
              <w:rPr>
                <w:rFonts w:ascii="Courier New" w:cs="Courier New" w:eastAsia="Courier New" w:hAnsi="Courier New"/>
                <w:color w:val="D4D4D4"/>
                <w:sz w:val="18"/>
                <w:szCs w:val="18"/>
              </w:rPr>
              <w:t xml:space="preserve"># - mean_rtt: RTT promedio durante la sesión (en microsegundos)</w:t>
            </w:r>
          </w:p>
        </w:tc>
      </w:tr>
    </w:tbl>
    <w:p>
      <w:pPr>
        <w:spacing w:after="160" w:before="60"/>
        <w:jc w:val="center"/>
      </w:pPr>
      <w:r>
        <w:rPr>
          <w:rFonts w:ascii="Arial" w:cs="Arial" w:eastAsia="Arial" w:hAnsi="Arial"/>
          <w:i/>
          <w:iCs/>
          <w:color w:val="555555"/>
          <w:sz w:val="20"/>
          <w:szCs w:val="20"/>
        </w:rPr>
        <w:t xml:space="preserve">Fragmento 5.1 — Comando iperf3 ejecutado por el CronJob con output JSON completo</w:t>
      </w:r>
    </w:p>
    <w:p>
      <w:pPr>
        <w:spacing w:after="120" w:before="120"/>
      </w:pPr>
      <w:r>
        <w:t xml:space="preserve"/>
      </w:r>
    </w:p>
    <w:p>
      <w:pPr>
        <w:spacing w:after="140" w:before="80" w:line="360"/>
        <w:jc w:val="both"/>
      </w:pPr>
      <w:r>
        <w:rPr>
          <w:rFonts w:ascii="Arial" w:cs="Arial" w:eastAsia="Arial" w:hAnsi="Arial"/>
          <w:color w:val="000000"/>
          <w:sz w:val="22"/>
          <w:szCs w:val="22"/>
        </w:rPr>
        <w:t xml:space="preserve">El parámetro -P 1 (un solo stream TCP paralelo) fue elegido deliberadamente. Algunos estudios usan múltiples streams paralelos para saturar completamente el ancho de banda disponible, pero esto no es representativo de la mayoría de las aplicaciones empresariales reales, que usan conexiones individuales. Un solo stream muestra cómo se comporta el CNI bajo una carga típica de aplicación, no bajo la carga máxima teórica.</w:t>
      </w:r>
    </w:p>
    <w:p>
      <w:pPr>
        <w:spacing w:after="120" w:before="120"/>
      </w:pPr>
      <w:r>
        <w:t xml:space="preserve"/>
      </w:r>
    </w:p>
    <w:p>
      <w:pPr>
        <w:pStyle w:val="Heading3"/>
        <w:spacing w:after="100" w:before="220"/>
      </w:pPr>
      <w:r>
        <w:rPr>
          <w:rFonts w:ascii="Arial" w:cs="Arial" w:eastAsia="Arial" w:hAnsi="Arial"/>
          <w:b/>
          <w:bCs/>
          <w:color w:val="404040"/>
          <w:sz w:val="24"/>
          <w:szCs w:val="24"/>
        </w:rPr>
        <w:t xml:space="preserve">5.2.2 Resultados de Throughput TCP por CNI</w:t>
      </w:r>
    </w:p>
    <w:p>
      <w:pPr>
        <w:spacing w:after="140" w:before="80" w:line="360"/>
        <w:jc w:val="both"/>
      </w:pPr>
      <w:r>
        <w:rPr>
          <w:rFonts w:ascii="Arial" w:cs="Arial" w:eastAsia="Arial" w:hAnsi="Arial"/>
          <w:color w:val="000000"/>
          <w:sz w:val="22"/>
          <w:szCs w:val="22"/>
        </w:rPr>
        <w:t xml:space="preserve">Los resultados presentados a continuación son los promedios de las 5 corridas de 300 segundos para cada CNI, después de aplicar el filtro IQR para eliminar outliers. La columna de retransmisiones es especialmente relevante porque refleja la estabilidad del canal de comunicación: pocas retransmisiones indican un encapsulamiento eficiente del CNI.</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631"/>
        <w:gridCol w:w="1631"/>
        <w:gridCol w:w="1631"/>
        <w:gridCol w:w="1633"/>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Métrica</w:t>
            </w:r>
          </w:p>
        </w:tc>
        <w:tc>
          <w:tcPr>
            <w:tcW w:type="dxa" w:w="163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Flannel
(VXLAN)</w:t>
            </w:r>
          </w:p>
        </w:tc>
        <w:tc>
          <w:tcPr>
            <w:tcW w:type="dxa" w:w="163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Calico
(BGP)</w:t>
            </w:r>
          </w:p>
        </w:tc>
        <w:tc>
          <w:tcPr>
            <w:tcW w:type="dxa" w:w="163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Cilium
(eBPF)</w:t>
            </w:r>
          </w:p>
        </w:tc>
        <w:tc>
          <w:tcPr>
            <w:tcW w:type="dxa" w:w="163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Antrea
(OVS)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Throughput Sender promedio</w:t>
            </w:r>
          </w:p>
        </w:tc>
        <w:tc>
          <w:tcPr>
            <w:tcW w:type="dxa" w:w="163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9.21 Gbps</w:t>
            </w:r>
          </w:p>
        </w:tc>
        <w:tc>
          <w:tcPr>
            <w:tcW w:type="dxa" w:w="163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9.48 Gbps</w:t>
            </w:r>
          </w:p>
        </w:tc>
        <w:tc>
          <w:tcPr>
            <w:tcW w:type="dxa" w:w="163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9.67 Gbps</w:t>
            </w:r>
          </w:p>
        </w:tc>
        <w:tc>
          <w:tcPr>
            <w:tcW w:type="dxa" w:w="1633"/>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9.35 Gbps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Throughput Receiver promedio</w:t>
            </w:r>
          </w:p>
        </w:tc>
        <w:tc>
          <w:tcPr>
            <w:tcW w:type="dxa" w:w="163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9.18 Gbps</w:t>
            </w:r>
          </w:p>
        </w:tc>
        <w:tc>
          <w:tcPr>
            <w:tcW w:type="dxa" w:w="163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9.45 Gbps</w:t>
            </w:r>
          </w:p>
        </w:tc>
        <w:tc>
          <w:tcPr>
            <w:tcW w:type="dxa" w:w="163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9.64 Gbps</w:t>
            </w:r>
          </w:p>
        </w:tc>
        <w:tc>
          <w:tcPr>
            <w:tcW w:type="dxa" w:w="16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9.31 Gbps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Retransmisiones TCP (promedio)</w:t>
            </w:r>
          </w:p>
        </w:tc>
        <w:tc>
          <w:tcPr>
            <w:tcW w:type="dxa" w:w="163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12.4 / sesión</w:t>
            </w:r>
          </w:p>
        </w:tc>
        <w:tc>
          <w:tcPr>
            <w:tcW w:type="dxa" w:w="163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4.8 / sesión</w:t>
            </w:r>
          </w:p>
        </w:tc>
        <w:tc>
          <w:tcPr>
            <w:tcW w:type="dxa" w:w="163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2.1 / sesión</w:t>
            </w:r>
          </w:p>
        </w:tc>
        <w:tc>
          <w:tcPr>
            <w:tcW w:type="dxa" w:w="1633"/>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7.3 / sesión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Diferencia Sender-Receiver</w:t>
            </w:r>
          </w:p>
        </w:tc>
        <w:tc>
          <w:tcPr>
            <w:tcW w:type="dxa" w:w="163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~0.03 Gbps</w:t>
            </w:r>
          </w:p>
        </w:tc>
        <w:tc>
          <w:tcPr>
            <w:tcW w:type="dxa" w:w="163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~0.03 Gbps</w:t>
            </w:r>
          </w:p>
        </w:tc>
        <w:tc>
          <w:tcPr>
            <w:tcW w:type="dxa" w:w="163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~0.03 Gbps</w:t>
            </w:r>
          </w:p>
        </w:tc>
        <w:tc>
          <w:tcPr>
            <w:tcW w:type="dxa" w:w="16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~0.04 Gbps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Variabilidad entre corridas (σ)</w:t>
            </w:r>
          </w:p>
        </w:tc>
        <w:tc>
          <w:tcPr>
            <w:tcW w:type="dxa" w:w="163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±0.18 Gbps</w:t>
            </w:r>
          </w:p>
        </w:tc>
        <w:tc>
          <w:tcPr>
            <w:tcW w:type="dxa" w:w="163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±0.09 Gbps</w:t>
            </w:r>
          </w:p>
        </w:tc>
        <w:tc>
          <w:tcPr>
            <w:tcW w:type="dxa" w:w="163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±0.07 Gbps</w:t>
            </w:r>
          </w:p>
        </w:tc>
        <w:tc>
          <w:tcPr>
            <w:tcW w:type="dxa" w:w="1633"/>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±0.12 Gbps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Outliers descartados por IQR</w:t>
            </w:r>
          </w:p>
        </w:tc>
        <w:tc>
          <w:tcPr>
            <w:tcW w:type="dxa" w:w="163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1 de 5 (20%)</w:t>
            </w:r>
          </w:p>
        </w:tc>
        <w:tc>
          <w:tcPr>
            <w:tcW w:type="dxa" w:w="163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0 de 5 (0%)</w:t>
            </w:r>
          </w:p>
        </w:tc>
        <w:tc>
          <w:tcPr>
            <w:tcW w:type="dxa" w:w="163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0 de 5 (0%)</w:t>
            </w:r>
          </w:p>
        </w:tc>
        <w:tc>
          <w:tcPr>
            <w:tcW w:type="dxa" w:w="16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1 de 5 (20%)</w:t>
            </w:r>
          </w:p>
        </w:tc>
      </w:tr>
    </w:tbl>
    <w:p>
      <w:pPr>
        <w:spacing w:after="160" w:before="60"/>
        <w:jc w:val="center"/>
      </w:pPr>
      <w:r>
        <w:rPr>
          <w:rFonts w:ascii="Arial" w:cs="Arial" w:eastAsia="Arial" w:hAnsi="Arial"/>
          <w:i/>
          <w:iCs/>
          <w:color w:val="555555"/>
          <w:sz w:val="20"/>
          <w:szCs w:val="20"/>
        </w:rPr>
        <w:t xml:space="preserve">Tabla 5.2 — Resultados de throughput TCP por CNI (promedio de 5 corridas de 300 segundos)</w:t>
      </w:r>
    </w:p>
    <w:p>
      <w:pPr>
        <w:spacing w:after="120" w:before="120"/>
      </w:pPr>
      <w:r>
        <w:t xml:space="preserve"/>
      </w:r>
    </w:p>
    <w:p>
      <w:pPr>
        <w:spacing w:after="140" w:before="80" w:line="360"/>
        <w:jc w:val="both"/>
      </w:pPr>
      <w:r>
        <w:rPr>
          <w:rFonts w:ascii="Arial" w:cs="Arial" w:eastAsia="Arial" w:hAnsi="Arial"/>
          <w:color w:val="000000"/>
          <w:sz w:val="22"/>
          <w:szCs w:val="22"/>
        </w:rPr>
        <w:t xml:space="preserve">Los resultados de throughput revelan que todos los CNIs se acercan al límite teórico de la red VPC de DigitalOcean (~9.7-9.8 Gbps), lo que indica que ninguno introduce una degradación catastrófica del ancho de banda. Sin embargo, las diferencias en retransmisiones son muy significativas: Cilium con eBPF genera apenas 2.1 retransmisiones por sesión, mientras que Flannel genera 12.4, casi 6 veces más. Esta diferencia se explica por la arquitectura de cada CNI: eBPF opera directamente en el kernel del sistema operativo y puede tomar decisiones de enrutamiento mucho más rápido que el mecanismo VXLAN de Flannel, que requiere múltiples copias del paquete en memoria antes de transmitirlo.</w:t>
      </w:r>
    </w:p>
    <w:p>
      <w:pPr>
        <w:spacing w:after="140" w:before="80" w:line="360"/>
        <w:jc w:val="both"/>
      </w:pPr>
      <w:r>
        <w:rPr>
          <w:rFonts w:ascii="Arial" w:cs="Arial" w:eastAsia="Arial" w:hAnsi="Arial"/>
          <w:color w:val="000000"/>
          <w:sz w:val="22"/>
          <w:szCs w:val="22"/>
        </w:rPr>
        <w:t xml:space="preserve">La baja variabilidad de Cilium (±0.07 Gbps entre corridas) es otro indicador de calidad: significa que su rendimiento es predecible y consistente, una característica muy valorada en entornos de producción donde los Acuerdos de Nivel de Servicio (SLA) dependen de la estabilidad de la red.</w:t>
      </w:r>
    </w:p>
    <w:p>
      <w:pPr>
        <w:spacing w:after="120" w:before="120"/>
      </w:pPr>
      <w:r>
        <w:t xml:space="preserve"/>
      </w:r>
    </w:p>
    <w:p>
      <w:pPr>
        <w:pStyle w:val="Heading3"/>
        <w:spacing w:after="100" w:before="220"/>
      </w:pPr>
      <w:r>
        <w:rPr>
          <w:rFonts w:ascii="Arial" w:cs="Arial" w:eastAsia="Arial" w:hAnsi="Arial"/>
          <w:b/>
          <w:bCs/>
          <w:color w:val="404040"/>
          <w:sz w:val="24"/>
          <w:szCs w:val="24"/>
        </w:rPr>
        <w:t xml:space="preserve">5.2.3 Protocolo de Prueba de Latencia TCP</w:t>
      </w:r>
    </w:p>
    <w:p>
      <w:pPr>
        <w:spacing w:after="140" w:before="80" w:line="360"/>
        <w:jc w:val="both"/>
      </w:pPr>
      <w:r>
        <w:rPr>
          <w:rFonts w:ascii="Arial" w:cs="Arial" w:eastAsia="Arial" w:hAnsi="Arial"/>
          <w:color w:val="000000"/>
          <w:sz w:val="22"/>
          <w:szCs w:val="22"/>
        </w:rPr>
        <w:t xml:space="preserve">La latencia es probablemente la métrica de QoS más importante para las aplicaciones interactivas: una red puede tener mucho ancho de banda pero si la latencia es alta, las aplicaciones se sentirán lentas e irresponsivas. La latencia de establecimiento TCP mide específicamente el tiempo que tarda en completarse el handshake de tres vías de TCP (SYN → SYN-ACK → ACK), que es el proceso que ocurre cada vez que una aplicación inicia una nueva conexión.</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¿Qué es el handshake TCP y por qué importa su latencia?</w:t>
            </w:r>
          </w:p>
        </w:tc>
      </w:tr>
      <w:tr>
        <w:tc>
          <w:tcPr>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jc w:val="both"/>
            </w:pPr>
            <w:r>
              <w:rPr>
                <w:rFonts w:ascii="Arial" w:cs="Arial" w:eastAsia="Arial" w:hAnsi="Arial"/>
                <w:sz w:val="21"/>
                <w:szCs w:val="21"/>
              </w:rPr>
              <w:t xml:space="preserve">Antes de que una aplicación pueda enviar datos, TCP establece una conexión en tres pasos: primero el cliente envía un paquete SYN (synchronize) al servidor; luego el servidor responde con un SYN-ACK (synchronize-acknowledge); finalmente el cliente envía un ACK (acknowledge) confirmando que recibió la respuesta.</w:t>
            </w:r>
          </w:p>
        </w:tc>
      </w:tr>
      <w:tr>
        <w:tc>
          <w:tcPr>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jc w:val="both"/>
            </w:pPr>
            <w:r>
              <w:rPr>
                <w:rFonts w:ascii="Arial" w:cs="Arial" w:eastAsia="Arial" w:hAnsi="Arial"/>
                <w:sz w:val="21"/>
                <w:szCs w:val="21"/>
              </w:rPr>
              <w:t xml:space="preserve">Este proceso, llamado three-way handshake, ocurre antes de CADA nueva conexión. En una aplicación de microservicios con decenas de servicios comunicándose constantemente, este handshake ocurre miles de veces por segundo. Si el CNI introduce latencia adicional en cada handshake, el impacto se multiplica.</w:t>
            </w:r>
          </w:p>
        </w:tc>
      </w:tr>
      <w:tr>
        <w:tc>
          <w:tcPr>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jc w:val="both"/>
            </w:pPr>
            <w:r>
              <w:rPr>
                <w:rFonts w:ascii="Arial" w:cs="Arial" w:eastAsia="Arial" w:hAnsi="Arial"/>
                <w:sz w:val="21"/>
                <w:szCs w:val="21"/>
              </w:rPr>
              <w:t xml:space="preserve">En un clúster Kubernetes, el CNI es responsable de enrutar estos paquetes entre nodos. Los CNIs más eficientes (como Cilium con eBPF) logran procesar los paquetes SYN y SYN-ACK más rápidamente, reduciendo el tiempo total del handshake y mejorando la capacidad de respuesta percibida por las aplicaciones.</w:t>
            </w:r>
          </w:p>
        </w:tc>
      </w:tr>
    </w:tbl>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D4D4D4"/>
                <w:sz w:val="18"/>
                <w:szCs w:val="18"/>
              </w:rPr>
              <w:t xml:space="preserve"># latency_client.py — Script de medición de latencia TCP</w:t>
            </w:r>
          </w:p>
          <w:p>
            <w:r>
              <w:rPr>
                <w:rFonts w:ascii="Courier New" w:cs="Courier New" w:eastAsia="Courier New" w:hAnsi="Courier New"/>
                <w:color w:val="D4D4D4"/>
                <w:sz w:val="18"/>
                <w:szCs w:val="18"/>
              </w:rPr>
              <w:t xml:space="preserve">import socket, time, json, statistics</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TARGET_HOST = 'iperf-server-svc.cni-benchmark.svc.cluster.local'</w:t>
            </w:r>
          </w:p>
          <w:p>
            <w:r>
              <w:rPr>
                <w:rFonts w:ascii="Courier New" w:cs="Courier New" w:eastAsia="Courier New" w:hAnsi="Courier New"/>
                <w:color w:val="D4D4D4"/>
                <w:sz w:val="18"/>
                <w:szCs w:val="18"/>
              </w:rPr>
              <w:t xml:space="preserve">TARGET_PORT = 5201</w:t>
            </w:r>
          </w:p>
          <w:p>
            <w:r>
              <w:rPr>
                <w:rFonts w:ascii="Courier New" w:cs="Courier New" w:eastAsia="Courier New" w:hAnsi="Courier New"/>
                <w:color w:val="D4D4D4"/>
                <w:sz w:val="18"/>
                <w:szCs w:val="18"/>
              </w:rPr>
              <w:t xml:space="preserve">SAMPLES = 30  # 30 mediciones por corrida</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latencias = []</w:t>
            </w:r>
          </w:p>
          <w:p>
            <w:r>
              <w:rPr>
                <w:rFonts w:ascii="Courier New" w:cs="Courier New" w:eastAsia="Courier New" w:hAnsi="Courier New"/>
                <w:color w:val="D4D4D4"/>
                <w:sz w:val="18"/>
                <w:szCs w:val="18"/>
              </w:rPr>
              <w:t xml:space="preserve">for i in range(SAMPLES):</w:t>
            </w:r>
          </w:p>
          <w:p>
            <w:r>
              <w:rPr>
                <w:rFonts w:ascii="Courier New" w:cs="Courier New" w:eastAsia="Courier New" w:hAnsi="Courier New"/>
                <w:color w:val="D4D4D4"/>
                <w:sz w:val="18"/>
                <w:szCs w:val="18"/>
              </w:rPr>
              <w:t xml:space="preserve">    sock = socket.socket(socket.AF_INET, socket.SOCK_STREAM)</w:t>
            </w:r>
          </w:p>
          <w:p>
            <w:r>
              <w:rPr>
                <w:rFonts w:ascii="Courier New" w:cs="Courier New" w:eastAsia="Courier New" w:hAnsi="Courier New"/>
                <w:color w:val="D4D4D4"/>
                <w:sz w:val="18"/>
                <w:szCs w:val="18"/>
              </w:rPr>
              <w:t xml:space="preserve">    inicio = time.perf_counter()              # Timer de alta resolución</w:t>
            </w:r>
          </w:p>
          <w:p>
            <w:r>
              <w:rPr>
                <w:rFonts w:ascii="Courier New" w:cs="Courier New" w:eastAsia="Courier New" w:hAnsi="Courier New"/>
                <w:color w:val="D4D4D4"/>
                <w:sz w:val="18"/>
                <w:szCs w:val="18"/>
              </w:rPr>
              <w:t xml:space="preserve">    sock.connect((TARGET_HOST, TARGET_PORT))  # Handshake TCP completo</w:t>
            </w:r>
          </w:p>
          <w:p>
            <w:r>
              <w:rPr>
                <w:rFonts w:ascii="Courier New" w:cs="Courier New" w:eastAsia="Courier New" w:hAnsi="Courier New"/>
                <w:color w:val="D4D4D4"/>
                <w:sz w:val="18"/>
                <w:szCs w:val="18"/>
              </w:rPr>
              <w:t xml:space="preserve">    fin = time.perf_counter()</w:t>
            </w:r>
          </w:p>
          <w:p>
            <w:r>
              <w:rPr>
                <w:rFonts w:ascii="Courier New" w:cs="Courier New" w:eastAsia="Courier New" w:hAnsi="Courier New"/>
                <w:color w:val="D4D4D4"/>
                <w:sz w:val="18"/>
                <w:szCs w:val="18"/>
              </w:rPr>
              <w:t xml:space="preserve">    latencias.append((fin - inicio) * 1000)   # Convertir a milisegundos</w:t>
            </w:r>
          </w:p>
          <w:p>
            <w:r>
              <w:rPr>
                <w:rFonts w:ascii="Courier New" w:cs="Courier New" w:eastAsia="Courier New" w:hAnsi="Courier New"/>
                <w:color w:val="D4D4D4"/>
                <w:sz w:val="18"/>
                <w:szCs w:val="18"/>
              </w:rPr>
              <w:t xml:space="preserve">    sock.close()</w:t>
            </w:r>
          </w:p>
          <w:p>
            <w:r>
              <w:rPr>
                <w:rFonts w:ascii="Courier New" w:cs="Courier New" w:eastAsia="Courier New" w:hAnsi="Courier New"/>
                <w:color w:val="D4D4D4"/>
                <w:sz w:val="18"/>
                <w:szCs w:val="18"/>
              </w:rPr>
              <w:t xml:space="preserve">    time.sleep(0.1)  # 100ms entre mediciones para evitar congestión</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resultado = {</w:t>
            </w:r>
          </w:p>
          <w:p>
            <w:r>
              <w:rPr>
                <w:rFonts w:ascii="Courier New" w:cs="Courier New" w:eastAsia="Courier New" w:hAnsi="Courier New"/>
                <w:color w:val="D4D4D4"/>
                <w:sz w:val="18"/>
                <w:szCs w:val="18"/>
              </w:rPr>
              <w:t xml:space="preserve">    'min_ms':  round(min(latencias), 3),</w:t>
            </w:r>
          </w:p>
          <w:p>
            <w:r>
              <w:rPr>
                <w:rFonts w:ascii="Courier New" w:cs="Courier New" w:eastAsia="Courier New" w:hAnsi="Courier New"/>
                <w:color w:val="D4D4D4"/>
                <w:sz w:val="18"/>
                <w:szCs w:val="18"/>
              </w:rPr>
              <w:t xml:space="preserve">    'avg_ms':  round(statistics.mean(latencias), 3),</w:t>
            </w:r>
          </w:p>
          <w:p>
            <w:r>
              <w:rPr>
                <w:rFonts w:ascii="Courier New" w:cs="Courier New" w:eastAsia="Courier New" w:hAnsi="Courier New"/>
                <w:color w:val="D4D4D4"/>
                <w:sz w:val="18"/>
                <w:szCs w:val="18"/>
              </w:rPr>
              <w:t xml:space="preserve">    'max_ms':  round(max(latencias), 3),</w:t>
            </w:r>
          </w:p>
          <w:p>
            <w:r>
              <w:rPr>
                <w:rFonts w:ascii="Courier New" w:cs="Courier New" w:eastAsia="Courier New" w:hAnsi="Courier New"/>
                <w:color w:val="D4D4D4"/>
                <w:sz w:val="18"/>
                <w:szCs w:val="18"/>
              </w:rPr>
              <w:t xml:space="preserve">    'jitter_ms': round(statistics.stdev(latencias), 3)  # Variabilidad</w:t>
            </w:r>
          </w:p>
          <w:p>
            <w:r>
              <w:rPr>
                <w:rFonts w:ascii="Courier New" w:cs="Courier New" w:eastAsia="Courier New" w:hAnsi="Courier New"/>
                <w:color w:val="D4D4D4"/>
                <w:sz w:val="18"/>
                <w:szCs w:val="18"/>
              </w:rPr>
              <w:t xml:space="preserve">}</w:t>
            </w:r>
          </w:p>
        </w:tc>
      </w:tr>
    </w:tbl>
    <w:p>
      <w:pPr>
        <w:spacing w:after="160" w:before="60"/>
        <w:jc w:val="center"/>
      </w:pPr>
      <w:r>
        <w:rPr>
          <w:rFonts w:ascii="Arial" w:cs="Arial" w:eastAsia="Arial" w:hAnsi="Arial"/>
          <w:i/>
          <w:iCs/>
          <w:color w:val="555555"/>
          <w:sz w:val="20"/>
          <w:szCs w:val="20"/>
        </w:rPr>
        <w:t xml:space="preserve">Fragmento 5.2 — Script Python de medición de latencia TCP con 30 muestras por corrida</w:t>
      </w:r>
    </w:p>
    <w:p>
      <w:pPr>
        <w:spacing w:after="120" w:before="120"/>
      </w:pPr>
      <w:r>
        <w:t xml:space="preserve"/>
      </w:r>
    </w:p>
    <w:p>
      <w:pPr>
        <w:pStyle w:val="Heading3"/>
        <w:spacing w:after="100" w:before="220"/>
      </w:pPr>
      <w:r>
        <w:rPr>
          <w:rFonts w:ascii="Arial" w:cs="Arial" w:eastAsia="Arial" w:hAnsi="Arial"/>
          <w:b/>
          <w:bCs/>
          <w:color w:val="404040"/>
          <w:sz w:val="24"/>
          <w:szCs w:val="24"/>
        </w:rPr>
        <w:t xml:space="preserve">5.2.4 Resultados de Latencia TCP por CNI</w:t>
      </w:r>
    </w:p>
    <w:p>
      <w:pPr>
        <w:spacing w:after="140" w:before="80" w:line="360"/>
        <w:jc w:val="both"/>
      </w:pPr>
      <w:r>
        <w:rPr>
          <w:rFonts w:ascii="Arial" w:cs="Arial" w:eastAsia="Arial" w:hAnsi="Arial"/>
          <w:color w:val="000000"/>
          <w:sz w:val="22"/>
          <w:szCs w:val="22"/>
        </w:rPr>
        <w:t xml:space="preserve">Los resultados de latencia son donde las diferencias arquitectónicas entre los CNIs se hacen más evidentes. La latencia mínima refleja el overhead base del CNI en condiciones ideales, mientras que la latencia máxima y el jitter (variabilidad) reflejan cómo se comporta el CNI bajo condiciones de carga.</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631"/>
        <w:gridCol w:w="1631"/>
        <w:gridCol w:w="1631"/>
        <w:gridCol w:w="1633"/>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Métrica de Latencia</w:t>
            </w:r>
          </w:p>
        </w:tc>
        <w:tc>
          <w:tcPr>
            <w:tcW w:type="dxa" w:w="163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Flannel
(VXLAN)</w:t>
            </w:r>
          </w:p>
        </w:tc>
        <w:tc>
          <w:tcPr>
            <w:tcW w:type="dxa" w:w="163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Calico
(BGP)</w:t>
            </w:r>
          </w:p>
        </w:tc>
        <w:tc>
          <w:tcPr>
            <w:tcW w:type="dxa" w:w="163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Cilium
(eBPF)</w:t>
            </w:r>
          </w:p>
        </w:tc>
        <w:tc>
          <w:tcPr>
            <w:tcW w:type="dxa" w:w="163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Antrea
(OVS)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Latencia mínima (ms)</w:t>
            </w:r>
          </w:p>
        </w:tc>
        <w:tc>
          <w:tcPr>
            <w:tcW w:type="dxa" w:w="163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0.412 ms</w:t>
            </w:r>
          </w:p>
        </w:tc>
        <w:tc>
          <w:tcPr>
            <w:tcW w:type="dxa" w:w="163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0.287 ms</w:t>
            </w:r>
          </w:p>
        </w:tc>
        <w:tc>
          <w:tcPr>
            <w:tcW w:type="dxa" w:w="163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0.198 ms</w:t>
            </w:r>
          </w:p>
        </w:tc>
        <w:tc>
          <w:tcPr>
            <w:tcW w:type="dxa" w:w="1633"/>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0.341 ms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Latencia promedio (ms)</w:t>
            </w:r>
          </w:p>
        </w:tc>
        <w:tc>
          <w:tcPr>
            <w:tcW w:type="dxa" w:w="163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0.687 ms</w:t>
            </w:r>
          </w:p>
        </w:tc>
        <w:tc>
          <w:tcPr>
            <w:tcW w:type="dxa" w:w="163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0.431 ms</w:t>
            </w:r>
          </w:p>
        </w:tc>
        <w:tc>
          <w:tcPr>
            <w:tcW w:type="dxa" w:w="163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0.312 ms</w:t>
            </w:r>
          </w:p>
        </w:tc>
        <w:tc>
          <w:tcPr>
            <w:tcW w:type="dxa" w:w="16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0.512 ms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Latencia máxima (ms)</w:t>
            </w:r>
          </w:p>
        </w:tc>
        <w:tc>
          <w:tcPr>
            <w:tcW w:type="dxa" w:w="163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2.341 ms</w:t>
            </w:r>
          </w:p>
        </w:tc>
        <w:tc>
          <w:tcPr>
            <w:tcW w:type="dxa" w:w="163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0.891 ms</w:t>
            </w:r>
          </w:p>
        </w:tc>
        <w:tc>
          <w:tcPr>
            <w:tcW w:type="dxa" w:w="163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0.543 ms</w:t>
            </w:r>
          </w:p>
        </w:tc>
        <w:tc>
          <w:tcPr>
            <w:tcW w:type="dxa" w:w="1633"/>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1.124 ms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Jitter / Desviación estándar (ms)</w:t>
            </w:r>
          </w:p>
        </w:tc>
        <w:tc>
          <w:tcPr>
            <w:tcW w:type="dxa" w:w="163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±0.389 ms</w:t>
            </w:r>
          </w:p>
        </w:tc>
        <w:tc>
          <w:tcPr>
            <w:tcW w:type="dxa" w:w="163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±0.142 ms</w:t>
            </w:r>
          </w:p>
        </w:tc>
        <w:tc>
          <w:tcPr>
            <w:tcW w:type="dxa" w:w="163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±0.087 ms</w:t>
            </w:r>
          </w:p>
        </w:tc>
        <w:tc>
          <w:tcPr>
            <w:tcW w:type="dxa" w:w="16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±0.201 ms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Percentil P95 (ms)</w:t>
            </w:r>
          </w:p>
        </w:tc>
        <w:tc>
          <w:tcPr>
            <w:tcW w:type="dxa" w:w="163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1.834 ms</w:t>
            </w:r>
          </w:p>
        </w:tc>
        <w:tc>
          <w:tcPr>
            <w:tcW w:type="dxa" w:w="163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0.712 ms</w:t>
            </w:r>
          </w:p>
        </w:tc>
        <w:tc>
          <w:tcPr>
            <w:tcW w:type="dxa" w:w="163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0.478 ms</w:t>
            </w:r>
          </w:p>
        </w:tc>
        <w:tc>
          <w:tcPr>
            <w:tcW w:type="dxa" w:w="1633"/>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0.893 ms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Percentil P99 (ms)</w:t>
            </w:r>
          </w:p>
        </w:tc>
        <w:tc>
          <w:tcPr>
            <w:tcW w:type="dxa" w:w="163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2.156 ms</w:t>
            </w:r>
          </w:p>
        </w:tc>
        <w:tc>
          <w:tcPr>
            <w:tcW w:type="dxa" w:w="163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0.843 ms</w:t>
            </w:r>
          </w:p>
        </w:tc>
        <w:tc>
          <w:tcPr>
            <w:tcW w:type="dxa" w:w="163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0.521 ms</w:t>
            </w:r>
          </w:p>
        </w:tc>
        <w:tc>
          <w:tcPr>
            <w:tcW w:type="dxa" w:w="16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1.067 ms</w:t>
            </w:r>
          </w:p>
        </w:tc>
      </w:tr>
    </w:tbl>
    <w:p>
      <w:pPr>
        <w:spacing w:after="160" w:before="60"/>
        <w:jc w:val="center"/>
      </w:pPr>
      <w:r>
        <w:rPr>
          <w:rFonts w:ascii="Arial" w:cs="Arial" w:eastAsia="Arial" w:hAnsi="Arial"/>
          <w:i/>
          <w:iCs/>
          <w:color w:val="555555"/>
          <w:sz w:val="20"/>
          <w:szCs w:val="20"/>
        </w:rPr>
        <w:t xml:space="preserve">Tabla 5.3 — Resultados de latencia TCP por CNI (30 muestras × 5 corridas, outliers IQR eliminados)</w:t>
      </w:r>
    </w:p>
    <w:p>
      <w:pPr>
        <w:spacing w:after="120" w:before="120"/>
      </w:pPr>
      <w:r>
        <w:t xml:space="preserve"/>
      </w:r>
    </w:p>
    <w:p>
      <w:pPr>
        <w:spacing w:after="140" w:before="80" w:line="360"/>
        <w:jc w:val="both"/>
      </w:pPr>
      <w:r>
        <w:rPr>
          <w:rFonts w:ascii="Arial" w:cs="Arial" w:eastAsia="Arial" w:hAnsi="Arial"/>
          <w:color w:val="000000"/>
          <w:sz w:val="22"/>
          <w:szCs w:val="22"/>
        </w:rPr>
        <w:t xml:space="preserve">Los datos de latencia revelan la mayor brecha de rendimiento entre CNIs. Cilium con eBPF logra una latencia promedio de 0.312 ms, mientras que Flannel alcanza 0.687 ms, el doble. Esta diferencia se debe fundamentalmente a cómo cada CNI procesa los paquetes: Flannel usa VXLAN, que encapsula el paquete original en uno nuevo, duplicando el trabajo de serialización y deserialización. Cilium con eBPF ejecuta programas directamente en el kernel que interceptan el paquete antes de que llegue al stack de red tradicional, eliminando copias innecesarias de datos en memoria.</w:t>
      </w:r>
    </w:p>
    <w:p>
      <w:pPr>
        <w:spacing w:after="140" w:before="80" w:line="360"/>
        <w:jc w:val="both"/>
      </w:pPr>
      <w:r>
        <w:rPr>
          <w:rFonts w:ascii="Arial" w:cs="Arial" w:eastAsia="Arial" w:hAnsi="Arial"/>
          <w:color w:val="000000"/>
          <w:sz w:val="22"/>
          <w:szCs w:val="22"/>
        </w:rPr>
        <w:t xml:space="preserve">Los percentiles P95 y P99 son especialmente relevantes para aplicaciones de tiempo real. El P99 de Flannel (2.156 ms) significa que el 1% de las conexiones tardan más de 2 milisegundos en establecerse. En una aplicación que realiza 10.000 conexiones por segundo, ese 1% representa 100 conexiones lentas por segundo, lo suficiente para degradar la experiencia del usuario en escenarios de alta concurrencia.</w:t>
      </w:r>
    </w:p>
    <w:p>
      <w:r>
        <w:br w:type="page"/>
      </w:r>
    </w:p>
    <w:p>
      <w:pPr>
        <w:pStyle w:val="Heading2"/>
        <w:spacing w:after="140" w:before="280"/>
      </w:pPr>
      <w:r>
        <w:rPr>
          <w:rFonts w:ascii="Arial" w:cs="Arial" w:eastAsia="Arial" w:hAnsi="Arial"/>
          <w:b/>
          <w:bCs/>
          <w:color w:val="2E75B6"/>
          <w:sz w:val="26"/>
          <w:szCs w:val="26"/>
        </w:rPr>
        <w:t xml:space="preserve">5.3 Pruebas de Seguridad con Network Policies — Objetivo Específico 2</w:t>
      </w:r>
    </w:p>
    <w:p>
      <w:pPr>
        <w:spacing w:after="140" w:before="80" w:line="360"/>
        <w:jc w:val="both"/>
      </w:pPr>
      <w:r>
        <w:rPr>
          <w:rFonts w:ascii="Arial" w:cs="Arial" w:eastAsia="Arial" w:hAnsi="Arial"/>
          <w:color w:val="000000"/>
          <w:sz w:val="22"/>
          <w:szCs w:val="22"/>
        </w:rPr>
        <w:t xml:space="preserve">El segundo objetivo específico evalúa cómo la configuración segura y automatizada de políticas de red reduce la superficie de ataque en el clúster. Las pruebas de seguridad tienen una naturaleza diferente a las de rendimiento: en lugar de medir qué tan rápido va algo, miden si el sistema bloquea correctamente lo que no debería pasar y permite lo que sí debería.</w:t>
      </w:r>
    </w:p>
    <w:p>
      <w:pPr>
        <w:spacing w:after="120" w:before="120"/>
      </w:pPr>
      <w:r>
        <w:t xml:space="preserve"/>
      </w:r>
    </w:p>
    <w:p>
      <w:pPr>
        <w:pStyle w:val="Heading3"/>
        <w:spacing w:after="100" w:before="220"/>
      </w:pPr>
      <w:r>
        <w:rPr>
          <w:rFonts w:ascii="Arial" w:cs="Arial" w:eastAsia="Arial" w:hAnsi="Arial"/>
          <w:b/>
          <w:bCs/>
          <w:color w:val="404040"/>
          <w:sz w:val="24"/>
          <w:szCs w:val="24"/>
        </w:rPr>
        <w:t xml:space="preserve">5.3.1 Matriz de Pruebas de Network Policies</w:t>
      </w:r>
    </w:p>
    <w:p>
      <w:pPr>
        <w:spacing w:after="140" w:before="80" w:line="360"/>
        <w:jc w:val="both"/>
      </w:pPr>
      <w:r>
        <w:rPr>
          <w:rFonts w:ascii="Arial" w:cs="Arial" w:eastAsia="Arial" w:hAnsi="Arial"/>
          <w:color w:val="000000"/>
          <w:sz w:val="22"/>
          <w:szCs w:val="22"/>
        </w:rPr>
        <w:t xml:space="preserve">Se diseñó una matriz de pruebas que cubre los escenarios críticos de seguridad en un clúster Kubernetes. Cada prueba tiene una hipótesis clara (lo que se espera que ocurra), un procedimiento de verificación (cómo se comprueba) y un criterio de éxito (cómo se determina si pasó o falló).</w:t>
      </w:r>
    </w:p>
    <w:p>
      <w:pPr>
        <w:spacing w:after="140" w:before="80" w:line="360"/>
        <w:jc w:val="both"/>
      </w:pPr>
      <w:r>
        <w:rPr>
          <w:rFonts w:ascii="Arial" w:cs="Arial" w:eastAsia="Arial" w:hAnsi="Arial"/>
          <w:color w:val="000000"/>
          <w:sz w:val="22"/>
          <w:szCs w:val="22"/>
        </w:rPr>
        <w:t xml:space="preserve">La herramienta de verificación principal fue kubectl exec combinada con nc (netcat) y curl dentro de Pods de prueba. kubectl exec permite ejecutar comandos dentro de un Pod en ejecución, simulando el comportamiento de una aplicación que intenta hacer una conexión de red. Si netcat logra conectarse cuando no debería, la prueba falla; si la conexión se rechaza cuando debería rechazarse, la prueba pasa.</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Caso de Prueba</w:t>
            </w:r>
          </w:p>
        </w:tc>
        <w:tc>
          <w:tcPr>
            <w:tcW w:type="dxa" w:w="6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Descripción, Herramienta y Criterio de Éxito</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TC-SEC-01: Default Deny Ingress</w:t>
            </w:r>
          </w:p>
        </w:tc>
        <w:tc>
          <w:tcPr>
            <w:tcW w:type="dxa" w:w="60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HIPÓTESIS: Ningún Pod externo puede enviar tráfico al namespace 'production' sin una regla explícita. VERIFICACIÓN: kubectl exec en Pod externo → nc -zv &lt;pod-interno-ip&gt; 8080. ÉXITO: Connection refused o timeout en menos de 5 segundos.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TC-SEC-02: Default Deny Egress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HIPÓTESIS: Los Pods en 'production' no pueden iniciar conexiones salientes no autorizadas. VERIFICACIÓN: kubectl exec en Pod interno → curl https://api.external.com --max-time 3. ÉXITO: curl timeout o connection refused.</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TC-SEC-03: Micro-segmentación Frontend→Backend</w:t>
            </w:r>
          </w:p>
        </w:tc>
        <w:tc>
          <w:tcPr>
            <w:tcW w:type="dxa" w:w="60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HIPÓTESIS: Pod con etiqueta 'tier=frontend' puede conectarse al backend en puerto 8080. VERIFICACIÓN: kubectl exec frontend-pod → nc -zv backend-svc 8080. ÉXITO: Connection succeeded en menos de 500ms.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TC-SEC-04: Bloqueo Frontend→Database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HIPÓTESIS: Pod frontend NO puede conectarse a la base de datos directamente. VERIFICACIÓN: kubectl exec frontend-pod → nc -zv db-svc 5432. ÉXITO: Connection refused o timeout. Si pasa, es fallo crítico de seguridad.</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TC-SEC-05: Backend→Database permitido</w:t>
            </w:r>
          </w:p>
        </w:tc>
        <w:tc>
          <w:tcPr>
            <w:tcW w:type="dxa" w:w="60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HIPÓTESIS: Pod backend SÍ puede conectarse a la base de datos en puerto 5432. VERIFICACIÓN: kubectl exec backend-pod → nc -zv db-svc 5432. ÉXITO: Connection succeeded.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TC-SEC-06: Database NO inicia conexiones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HIPÓTESIS: La base de datos nunca inicia conexiones salientes (prevención de exfiltración). VERIFICACIÓN: kubectl exec db-pod → nc -zv backend-svc 8080. ÉXITO: Bloqueo por política de Egress.</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TC-SEC-07: Bloqueo entre namespaces</w:t>
            </w:r>
          </w:p>
        </w:tc>
        <w:tc>
          <w:tcPr>
            <w:tcW w:type="dxa" w:w="60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HIPÓTESIS: Un Pod del namespace 'staging' no puede comunicarse con Pods de 'production'. VERIFICACIÓN: kubectl exec staging-pod → nc -zv production-pod-ip 8080. ÉXITO: Bloqueo confirmado.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TC-SEC-08: GitOps Auto-restauración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HIPÓTESIS: Si una política de red se elimina manualmente, ArgoCD la restaura en menos de 3 minutos. VERIFICACIÓN: kubectl delete networkpolicy default-deny-all -n production → esperar → kubectl get networkpolicy. ÉXITO: Política restaurada automáticamente.</w:t>
            </w:r>
          </w:p>
        </w:tc>
      </w:tr>
    </w:tbl>
    <w:p>
      <w:pPr>
        <w:spacing w:after="160" w:before="60"/>
        <w:jc w:val="center"/>
      </w:pPr>
      <w:r>
        <w:rPr>
          <w:rFonts w:ascii="Arial" w:cs="Arial" w:eastAsia="Arial" w:hAnsi="Arial"/>
          <w:i/>
          <w:iCs/>
          <w:color w:val="555555"/>
          <w:sz w:val="20"/>
          <w:szCs w:val="20"/>
        </w:rPr>
        <w:t xml:space="preserve">Tabla 5.4 — Matriz completa de pruebas de seguridad con Network Policies</w:t>
      </w:r>
    </w:p>
    <w:p>
      <w:pPr>
        <w:spacing w:after="120" w:before="120"/>
      </w:pPr>
      <w:r>
        <w:t xml:space="preserve"/>
      </w:r>
    </w:p>
    <w:p>
      <w:pPr>
        <w:pStyle w:val="Heading3"/>
        <w:spacing w:after="100" w:before="220"/>
      </w:pPr>
      <w:r>
        <w:rPr>
          <w:rFonts w:ascii="Arial" w:cs="Arial" w:eastAsia="Arial" w:hAnsi="Arial"/>
          <w:b/>
          <w:bCs/>
          <w:color w:val="404040"/>
          <w:sz w:val="24"/>
          <w:szCs w:val="24"/>
        </w:rPr>
        <w:t xml:space="preserve">5.3.2 Resultados de las Pruebas de Seguridad por CNI</w:t>
      </w:r>
    </w:p>
    <w:p>
      <w:pPr>
        <w:spacing w:after="140" w:before="80" w:line="360"/>
        <w:jc w:val="both"/>
      </w:pPr>
      <w:r>
        <w:rPr>
          <w:rFonts w:ascii="Arial" w:cs="Arial" w:eastAsia="Arial" w:hAnsi="Arial"/>
          <w:color w:val="000000"/>
          <w:sz w:val="22"/>
          <w:szCs w:val="22"/>
        </w:rPr>
        <w:t xml:space="preserve">No todos los CNIs soportan Network Policies de la misma manera. Kubernetes define la API de NetworkPolicy como un estándar, pero delega la implementación real al plano de datos del CNI. Si un CNI no implementa el plano de datos correctamente, las políticas se aceptan (kubectl apply funciona sin error) pero no se ejecutan, dejando el tráfico fluir sin restricciones. Este es uno de los problemas más peligrosos porque da una falsa sensación de seguridad.</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06"/>
        <w:gridCol w:w="1706"/>
        <w:gridCol w:w="1707"/>
        <w:gridCol w:w="1707"/>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Caso de Prueba</w:t>
            </w:r>
          </w:p>
        </w:tc>
        <w:tc>
          <w:tcPr>
            <w:tcW w:type="dxa" w:w="170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Flannel</w:t>
            </w:r>
          </w:p>
        </w:tc>
        <w:tc>
          <w:tcPr>
            <w:tcW w:type="dxa" w:w="170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Calico</w:t>
            </w:r>
          </w:p>
        </w:tc>
        <w:tc>
          <w:tcPr>
            <w:tcW w:type="dxa" w:w="170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Cilium</w:t>
            </w:r>
          </w:p>
        </w:tc>
        <w:tc>
          <w:tcPr>
            <w:tcW w:type="dxa" w:w="170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Antrea</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bCs/>
                <w:sz w:val="20"/>
                <w:szCs w:val="20"/>
              </w:rPr>
              <w:t xml:space="preserve">TC-SEC-01: Default Deny Ingress</w:t>
            </w:r>
          </w:p>
        </w:tc>
        <w:tc>
          <w:tcPr>
            <w:tcW w:type="dxa" w:w="1706"/>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NO SOPORTA</w:t>
            </w:r>
          </w:p>
        </w:tc>
        <w:tc>
          <w:tcPr>
            <w:tcW w:type="dxa" w:w="170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PASA</w:t>
            </w:r>
          </w:p>
        </w:tc>
        <w:tc>
          <w:tcPr>
            <w:tcW w:type="dxa" w:w="1707"/>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PASA</w:t>
            </w:r>
          </w:p>
        </w:tc>
        <w:tc>
          <w:tcPr>
            <w:tcW w:type="dxa" w:w="1707"/>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PASA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TC-SEC-02: Default Deny Egress</w:t>
            </w:r>
          </w:p>
        </w:tc>
        <w:tc>
          <w:tcPr>
            <w:tcW w:type="dxa" w:w="1706"/>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NO SOPORTA</w:t>
            </w:r>
          </w:p>
        </w:tc>
        <w:tc>
          <w:tcPr>
            <w:tcW w:type="dxa" w:w="1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PASA</w:t>
            </w:r>
          </w:p>
        </w:tc>
        <w:tc>
          <w:tcPr>
            <w:tcW w:type="dxa" w:w="170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PASA</w:t>
            </w:r>
          </w:p>
        </w:tc>
        <w:tc>
          <w:tcPr>
            <w:tcW w:type="dxa" w:w="170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PASA</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bCs/>
                <w:sz w:val="20"/>
                <w:szCs w:val="20"/>
              </w:rPr>
              <w:t xml:space="preserve">TC-SEC-03: Frontend→Backend permitido</w:t>
            </w:r>
          </w:p>
        </w:tc>
        <w:tc>
          <w:tcPr>
            <w:tcW w:type="dxa" w:w="170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N/A</w:t>
            </w:r>
          </w:p>
        </w:tc>
        <w:tc>
          <w:tcPr>
            <w:tcW w:type="dxa" w:w="170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PASA</w:t>
            </w:r>
          </w:p>
        </w:tc>
        <w:tc>
          <w:tcPr>
            <w:tcW w:type="dxa" w:w="1707"/>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PASA</w:t>
            </w:r>
          </w:p>
        </w:tc>
        <w:tc>
          <w:tcPr>
            <w:tcW w:type="dxa" w:w="1707"/>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PASA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TC-SEC-04: Frontend→DB bloqueado</w:t>
            </w:r>
          </w:p>
        </w:tc>
        <w:tc>
          <w:tcPr>
            <w:tcW w:type="dxa" w:w="1706"/>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NO BLOQUEA</w:t>
            </w:r>
          </w:p>
        </w:tc>
        <w:tc>
          <w:tcPr>
            <w:tcW w:type="dxa" w:w="1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PASA</w:t>
            </w:r>
          </w:p>
        </w:tc>
        <w:tc>
          <w:tcPr>
            <w:tcW w:type="dxa" w:w="170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PASA</w:t>
            </w:r>
          </w:p>
        </w:tc>
        <w:tc>
          <w:tcPr>
            <w:tcW w:type="dxa" w:w="170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PASA</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bCs/>
                <w:sz w:val="20"/>
                <w:szCs w:val="20"/>
              </w:rPr>
              <w:t xml:space="preserve">TC-SEC-05: Backend→DB permitido</w:t>
            </w:r>
          </w:p>
        </w:tc>
        <w:tc>
          <w:tcPr>
            <w:tcW w:type="dxa" w:w="170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N/A</w:t>
            </w:r>
          </w:p>
        </w:tc>
        <w:tc>
          <w:tcPr>
            <w:tcW w:type="dxa" w:w="170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PASA</w:t>
            </w:r>
          </w:p>
        </w:tc>
        <w:tc>
          <w:tcPr>
            <w:tcW w:type="dxa" w:w="1707"/>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PASA</w:t>
            </w:r>
          </w:p>
        </w:tc>
        <w:tc>
          <w:tcPr>
            <w:tcW w:type="dxa" w:w="1707"/>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PASA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TC-SEC-06: DB no inicia conexiones</w:t>
            </w:r>
          </w:p>
        </w:tc>
        <w:tc>
          <w:tcPr>
            <w:tcW w:type="dxa" w:w="1706"/>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NO SOPORTA</w:t>
            </w:r>
          </w:p>
        </w:tc>
        <w:tc>
          <w:tcPr>
            <w:tcW w:type="dxa" w:w="1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PASA</w:t>
            </w:r>
          </w:p>
        </w:tc>
        <w:tc>
          <w:tcPr>
            <w:tcW w:type="dxa" w:w="170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PASA</w:t>
            </w:r>
          </w:p>
        </w:tc>
        <w:tc>
          <w:tcPr>
            <w:tcW w:type="dxa" w:w="170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PASA</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bCs/>
                <w:sz w:val="20"/>
                <w:szCs w:val="20"/>
              </w:rPr>
              <w:t xml:space="preserve">TC-SEC-07: Bloqueo entre namespaces</w:t>
            </w:r>
          </w:p>
        </w:tc>
        <w:tc>
          <w:tcPr>
            <w:tcW w:type="dxa" w:w="1706"/>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NO BLOQUEA</w:t>
            </w:r>
          </w:p>
        </w:tc>
        <w:tc>
          <w:tcPr>
            <w:tcW w:type="dxa" w:w="170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PASA</w:t>
            </w:r>
          </w:p>
        </w:tc>
        <w:tc>
          <w:tcPr>
            <w:tcW w:type="dxa" w:w="1707"/>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PASA</w:t>
            </w:r>
          </w:p>
        </w:tc>
        <w:tc>
          <w:tcPr>
            <w:tcW w:type="dxa" w:w="1707"/>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PASA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TC-SEC-08: Auto-restauración ArgoCD</w:t>
            </w:r>
          </w:p>
        </w:tc>
        <w:tc>
          <w:tcPr>
            <w:tcW w:type="dxa" w:w="1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N/A</w:t>
            </w:r>
          </w:p>
        </w:tc>
        <w:tc>
          <w:tcPr>
            <w:tcW w:type="dxa" w:w="1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&lt; 2 min</w:t>
            </w:r>
          </w:p>
        </w:tc>
        <w:tc>
          <w:tcPr>
            <w:tcW w:type="dxa" w:w="170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&lt; 2 min</w:t>
            </w:r>
          </w:p>
        </w:tc>
        <w:tc>
          <w:tcPr>
            <w:tcW w:type="dxa" w:w="170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&lt; 2 min</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bCs/>
                <w:sz w:val="20"/>
                <w:szCs w:val="20"/>
              </w:rPr>
              <w:t xml:space="preserve">Network Policies L7 (HTTP paths)</w:t>
            </w:r>
          </w:p>
        </w:tc>
        <w:tc>
          <w:tcPr>
            <w:tcW w:type="dxa" w:w="1706"/>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NO SOPORTA</w:t>
            </w:r>
          </w:p>
        </w:tc>
        <w:tc>
          <w:tcPr>
            <w:tcW w:type="dxa" w:w="1706"/>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NO SOPORTA</w:t>
            </w:r>
          </w:p>
        </w:tc>
        <w:tc>
          <w:tcPr>
            <w:tcW w:type="dxa" w:w="1707"/>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SOPORTA</w:t>
            </w:r>
          </w:p>
        </w:tc>
        <w:tc>
          <w:tcPr>
            <w:tcW w:type="dxa" w:w="1707"/>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NO SOPORTA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RESULTADO GLOBAL</w:t>
            </w:r>
          </w:p>
        </w:tc>
        <w:tc>
          <w:tcPr>
            <w:tcW w:type="dxa" w:w="1706"/>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tcPr>
          <w:p>
            <w:pPr>
              <w:jc w:val="center"/>
            </w:pPr>
            <w:r>
              <w:rPr>
                <w:rFonts w:ascii="Arial" w:cs="Arial" w:eastAsia="Arial" w:hAnsi="Arial"/>
                <w:b/>
                <w:bCs/>
                <w:sz w:val="20"/>
                <w:szCs w:val="20"/>
              </w:rPr>
              <w:t xml:space="preserve">INSUFICIENTE</w:t>
            </w:r>
          </w:p>
        </w:tc>
        <w:tc>
          <w:tcPr>
            <w:tcW w:type="dxa" w:w="1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APROBADO</w:t>
            </w:r>
          </w:p>
        </w:tc>
        <w:tc>
          <w:tcPr>
            <w:tcW w:type="dxa" w:w="1707"/>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20"/>
                <w:szCs w:val="20"/>
              </w:rPr>
              <w:t xml:space="preserve">APROBADO+</w:t>
            </w:r>
          </w:p>
        </w:tc>
        <w:tc>
          <w:tcPr>
            <w:tcW w:type="dxa" w:w="170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APROBADO</w:t>
            </w:r>
          </w:p>
        </w:tc>
      </w:tr>
    </w:tbl>
    <w:p>
      <w:pPr>
        <w:spacing w:after="160" w:before="60"/>
        <w:jc w:val="center"/>
      </w:pPr>
      <w:r>
        <w:rPr>
          <w:rFonts w:ascii="Arial" w:cs="Arial" w:eastAsia="Arial" w:hAnsi="Arial"/>
          <w:i/>
          <w:iCs/>
          <w:color w:val="555555"/>
          <w:sz w:val="20"/>
          <w:szCs w:val="20"/>
        </w:rPr>
        <w:t xml:space="preserve">Tabla 5.5 — Resultados de pruebas de seguridad por CNI (✓ pasa | ✗ falla | N/A no aplicable)</w:t>
      </w:r>
    </w:p>
    <w:p>
      <w:pPr>
        <w:spacing w:after="120" w:before="120"/>
      </w:pPr>
      <w:r>
        <w:t xml:space="preserve"/>
      </w:r>
    </w:p>
    <w:p>
      <w:pPr>
        <w:spacing w:after="140" w:before="80" w:line="360"/>
        <w:jc w:val="both"/>
      </w:pPr>
      <w:r>
        <w:rPr>
          <w:rFonts w:ascii="Arial" w:cs="Arial" w:eastAsia="Arial" w:hAnsi="Arial"/>
          <w:color w:val="000000"/>
          <w:sz w:val="22"/>
          <w:szCs w:val="22"/>
        </w:rPr>
        <w:t xml:space="preserve">El hallazgo más crítico de las pruebas de seguridad es que Flannel no implementa Network Policies en su plano de datos. Las políticas se crean sin error en Kubernetes, pero Flannel simplemente las ignora: el tráfico que debería estar bloqueado continúa fluyendo normalmente. Esto convierte a Flannel en una opción inviable para cualquier organización con requisitos de seguridad, independientemente de su rendimiento en throughput.</w:t>
      </w:r>
    </w:p>
    <w:p>
      <w:pPr>
        <w:spacing w:after="140" w:before="80" w:line="360"/>
        <w:jc w:val="both"/>
      </w:pPr>
      <w:r>
        <w:rPr>
          <w:rFonts w:ascii="Arial" w:cs="Arial" w:eastAsia="Arial" w:hAnsi="Arial"/>
          <w:color w:val="000000"/>
          <w:sz w:val="22"/>
          <w:szCs w:val="22"/>
        </w:rPr>
        <w:t xml:space="preserve">Cilium sobresale como el único CNI que soporta Network Policies de capa 7 (L7). Esto significa que con Cilium es posible crear reglas como 'solo permite solicitudes HTTP GET al path /api/v1/productos' a nivel del protocolo HTTP, no solo a nivel de puerto TCP. Esta capacidad es fundamental para arquitecturas de microservicios donde el control de acceso necesita operar al nivel del protocolo de aplicación.</w:t>
      </w:r>
    </w:p>
    <w:p>
      <w:pPr>
        <w:spacing w:after="120" w:before="120"/>
      </w:pPr>
      <w:r>
        <w:t xml:space="preserve"/>
      </w:r>
    </w:p>
    <w:p>
      <w:pPr>
        <w:pStyle w:val="Heading3"/>
        <w:spacing w:after="100" w:before="220"/>
      </w:pPr>
      <w:r>
        <w:rPr>
          <w:rFonts w:ascii="Arial" w:cs="Arial" w:eastAsia="Arial" w:hAnsi="Arial"/>
          <w:b/>
          <w:bCs/>
          <w:color w:val="404040"/>
          <w:sz w:val="24"/>
          <w:szCs w:val="24"/>
        </w:rPr>
        <w:t xml:space="preserve">5.3.3 Prueba de Overhead de Seguridad</w:t>
      </w:r>
    </w:p>
    <w:p>
      <w:pPr>
        <w:spacing w:after="140" w:before="80" w:line="360"/>
        <w:jc w:val="both"/>
      </w:pPr>
      <w:r>
        <w:rPr>
          <w:rFonts w:ascii="Arial" w:cs="Arial" w:eastAsia="Arial" w:hAnsi="Arial"/>
          <w:color w:val="000000"/>
          <w:sz w:val="22"/>
          <w:szCs w:val="22"/>
        </w:rPr>
        <w:t xml:space="preserve">Una pregunta legítima que surgiría al activar las Network Policies es: ¿cuánta latencia adicional introduce la inspección de paquetes? Para responderla, se ejecutaron las pruebas de rendimiento iperf3 nuevamente, esta vez con las políticas de seguridad activas (Default Deny + reglas de micro-segmentación), y se compararon con los resultados base.</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CNI y Estado de Políticas</w:t>
            </w:r>
          </w:p>
        </w:tc>
        <w:tc>
          <w:tcPr>
            <w:tcW w:type="dxa" w:w="6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Latencia promedio TCP / Throughput TCP</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Calico — Sin políticas (baseline)</w:t>
            </w:r>
          </w:p>
        </w:tc>
        <w:tc>
          <w:tcPr>
            <w:tcW w:type="dxa" w:w="60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0.431 ms / 9.45 Gbps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Calico — Con políticas activas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0.449 ms / 9.42 Gbps</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Calico — Overhead introducido</w:t>
            </w:r>
          </w:p>
        </w:tc>
        <w:tc>
          <w:tcPr>
            <w:tcW w:type="dxa" w:w="60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+0.018 ms (+4.2%) / -0.03 Gbps (-0.3%)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Cilium — Sin políticas (baseline)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0.312 ms / 9.64 Gbps</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Cilium — Con políticas activas</w:t>
            </w:r>
          </w:p>
        </w:tc>
        <w:tc>
          <w:tcPr>
            <w:tcW w:type="dxa" w:w="60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0.318 ms / 9.62 Gbps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Cilium — Overhead introducido</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+0.006 ms (+1.9%) / -0.02 Gbps (-0.2%)</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Antrea — Sin políticas (baseline)</w:t>
            </w:r>
          </w:p>
        </w:tc>
        <w:tc>
          <w:tcPr>
            <w:tcW w:type="dxa" w:w="60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0.512 ms / 9.31 Gbps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Antrea — Con políticas activas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0.538 ms / 9.27 Gbps</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Antrea — Overhead introducido</w:t>
            </w:r>
          </w:p>
        </w:tc>
        <w:tc>
          <w:tcPr>
            <w:tcW w:type="dxa" w:w="60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+0.026 ms (+5.1%) / -0.04 Gbps (-0.4%)</w:t>
            </w:r>
          </w:p>
        </w:tc>
      </w:tr>
    </w:tbl>
    <w:p>
      <w:pPr>
        <w:spacing w:after="160" w:before="60"/>
        <w:jc w:val="center"/>
      </w:pPr>
      <w:r>
        <w:rPr>
          <w:rFonts w:ascii="Arial" w:cs="Arial" w:eastAsia="Arial" w:hAnsi="Arial"/>
          <w:i/>
          <w:iCs/>
          <w:color w:val="555555"/>
          <w:sz w:val="20"/>
          <w:szCs w:val="20"/>
        </w:rPr>
        <w:t xml:space="preserve">Tabla 5.6 — Impacto de las Network Policies en el rendimiento de red de cada CNI</w:t>
      </w:r>
    </w:p>
    <w:p>
      <w:pPr>
        <w:spacing w:after="120" w:before="120"/>
      </w:pPr>
      <w:r>
        <w:t xml:space="preserve"/>
      </w:r>
    </w:p>
    <w:p>
      <w:pPr>
        <w:spacing w:after="140" w:before="80" w:line="360"/>
        <w:jc w:val="both"/>
      </w:pPr>
      <w:r>
        <w:rPr>
          <w:rFonts w:ascii="Arial" w:cs="Arial" w:eastAsia="Arial" w:hAnsi="Arial"/>
          <w:color w:val="000000"/>
          <w:sz w:val="22"/>
          <w:szCs w:val="22"/>
        </w:rPr>
        <w:t xml:space="preserve">Los resultados demuestran que el overhead de seguridad es mínimo en todos los CNIs: la latencia adicional oscila entre el 1.9% (Cilium) y el 5.1% (Antrea), un impacto completamente aceptable para cualquier aplicación empresarial. Esto valida la premisa del diseño Zero Trust: es perfectamente viable implementar seguridad completa sin sacrificar el rendimiento de manera significativa. El costo de no implementar seguridad (riesgo de brechas y accesos no autorizados) es órdenes de magnitud mayor que el overhead de 0.006 a 0.026 ms que introducen las políticas.</w:t>
      </w:r>
    </w:p>
    <w:p>
      <w:r>
        <w:br w:type="page"/>
      </w:r>
    </w:p>
    <w:p>
      <w:pPr>
        <w:pStyle w:val="Heading2"/>
        <w:spacing w:after="140" w:before="280"/>
      </w:pPr>
      <w:r>
        <w:rPr>
          <w:rFonts w:ascii="Arial" w:cs="Arial" w:eastAsia="Arial" w:hAnsi="Arial"/>
          <w:b/>
          <w:bCs/>
          <w:color w:val="2E75B6"/>
          <w:sz w:val="26"/>
          <w:szCs w:val="26"/>
        </w:rPr>
        <w:t xml:space="preserve">5.4 Pruebas de Eficiencia Computacional — Consumo del Agente CNI</w:t>
      </w:r>
    </w:p>
    <w:p>
      <w:pPr>
        <w:spacing w:after="140" w:before="80" w:line="360"/>
        <w:jc w:val="both"/>
      </w:pPr>
      <w:r>
        <w:rPr>
          <w:rFonts w:ascii="Arial" w:cs="Arial" w:eastAsia="Arial" w:hAnsi="Arial"/>
          <w:color w:val="000000"/>
          <w:sz w:val="22"/>
          <w:szCs w:val="22"/>
        </w:rPr>
        <w:t xml:space="preserve">Las pruebas de rendimiento de red (throughput y latencia) muestran qué tan rápido puede mover datos un CNI, pero no responden una pregunta igualmente importante: ¿a qué costo? Un CNI que logra 9.6 Gbps consumiendo el 80% de la CPU de los nodos es menos eficiente que uno que logra 9.4 Gbps consumiendo el 5% de CPU. Esta sección presenta las mediciones de consumo del agente CNI bajo condiciones de estrés de red.</w:t>
      </w:r>
    </w:p>
    <w:p>
      <w:pPr>
        <w:spacing w:after="120" w:before="120"/>
      </w:pPr>
      <w:r>
        <w:t xml:space="preserve"/>
      </w:r>
    </w:p>
    <w:p>
      <w:pPr>
        <w:pStyle w:val="Heading3"/>
        <w:spacing w:after="100" w:before="220"/>
      </w:pPr>
      <w:r>
        <w:rPr>
          <w:rFonts w:ascii="Arial" w:cs="Arial" w:eastAsia="Arial" w:hAnsi="Arial"/>
          <w:b/>
          <w:bCs/>
          <w:color w:val="404040"/>
          <w:sz w:val="24"/>
          <w:szCs w:val="24"/>
        </w:rPr>
        <w:t xml:space="preserve">5.4.1 Metodología de Medición de Recursos</w:t>
      </w:r>
    </w:p>
    <w:p>
      <w:pPr>
        <w:spacing w:after="140" w:before="80" w:line="360"/>
        <w:jc w:val="both"/>
      </w:pPr>
      <w:r>
        <w:rPr>
          <w:rFonts w:ascii="Arial" w:cs="Arial" w:eastAsia="Arial" w:hAnsi="Arial"/>
          <w:color w:val="000000"/>
          <w:sz w:val="22"/>
          <w:szCs w:val="22"/>
        </w:rPr>
        <w:t xml:space="preserve">Las métricas de consumo fueron capturadas por Prometheus durante las sesiones activas de iperf3 (cuando la red estaba bajo carga máxima). Se midió específicamente el consumo del proceso del agente CNI en cada nodo worker, filtrando por el nombre del Pod del agente correspondiente a cada CNI.</w:t>
      </w:r>
    </w:p>
    <w:p>
      <w:pPr>
        <w:spacing w:after="140" w:before="80" w:line="360"/>
        <w:jc w:val="both"/>
      </w:pPr>
      <w:r>
        <w:rPr>
          <w:rFonts w:ascii="Arial" w:cs="Arial" w:eastAsia="Arial" w:hAnsi="Arial"/>
          <w:color w:val="000000"/>
          <w:sz w:val="22"/>
          <w:szCs w:val="22"/>
        </w:rPr>
        <w:t xml:space="preserve">Es importante distinguir entre el consumo en estado inactivo (cuando no hay tráfico significativo) y el consumo bajo estrés (cuando iperf3 está generando ~9 Gbps de tráfico). Las métricas presentadas corresponden al consumo bajo estrés, que es el escenario relevante para el dimensionamiento de servidores.</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556"/>
        <w:gridCol w:w="1556"/>
        <w:gridCol w:w="1557"/>
        <w:gridCol w:w="1557"/>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Métrica de Eficiencia</w:t>
            </w:r>
          </w:p>
        </w:tc>
        <w:tc>
          <w:tcPr>
            <w:tcW w:type="dxa" w:w="155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Flannel
(VXLAN)</w:t>
            </w:r>
          </w:p>
        </w:tc>
        <w:tc>
          <w:tcPr>
            <w:tcW w:type="dxa" w:w="155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Calico
(BGP)</w:t>
            </w:r>
          </w:p>
        </w:tc>
        <w:tc>
          <w:tcPr>
            <w:tcW w:type="dxa" w:w="155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Cilium
(eBPF)</w:t>
            </w:r>
          </w:p>
        </w:tc>
        <w:tc>
          <w:tcPr>
            <w:tcW w:type="dxa" w:w="155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Antrea
(OVS)</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Nombre del agente CNI</w:t>
            </w:r>
          </w:p>
        </w:tc>
        <w:tc>
          <w:tcPr>
            <w:tcW w:type="dxa" w:w="155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flanneld</w:t>
            </w:r>
          </w:p>
        </w:tc>
        <w:tc>
          <w:tcPr>
            <w:tcW w:type="dxa" w:w="155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calico-node</w:t>
            </w:r>
          </w:p>
        </w:tc>
        <w:tc>
          <w:tcPr>
            <w:tcW w:type="dxa" w:w="1557"/>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cilium-agent</w:t>
            </w:r>
          </w:p>
        </w:tc>
        <w:tc>
          <w:tcPr>
            <w:tcW w:type="dxa" w:w="1557"/>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antrea-agent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CPU bajo estrés (millicores)</w:t>
            </w:r>
          </w:p>
        </w:tc>
        <w:tc>
          <w:tcPr>
            <w:tcW w:type="dxa" w:w="15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187 m</w:t>
            </w:r>
          </w:p>
        </w:tc>
        <w:tc>
          <w:tcPr>
            <w:tcW w:type="dxa" w:w="15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143 m</w:t>
            </w:r>
          </w:p>
        </w:tc>
        <w:tc>
          <w:tcPr>
            <w:tcW w:type="dxa" w:w="15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98 m</w:t>
            </w:r>
          </w:p>
        </w:tc>
        <w:tc>
          <w:tcPr>
            <w:tcW w:type="dxa" w:w="15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162 m</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CPU en reposo (millicores)</w:t>
            </w:r>
          </w:p>
        </w:tc>
        <w:tc>
          <w:tcPr>
            <w:tcW w:type="dxa" w:w="155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12 m</w:t>
            </w:r>
          </w:p>
        </w:tc>
        <w:tc>
          <w:tcPr>
            <w:tcW w:type="dxa" w:w="155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28 m</w:t>
            </w:r>
          </w:p>
        </w:tc>
        <w:tc>
          <w:tcPr>
            <w:tcW w:type="dxa" w:w="1557"/>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31 m</w:t>
            </w:r>
          </w:p>
        </w:tc>
        <w:tc>
          <w:tcPr>
            <w:tcW w:type="dxa" w:w="1557"/>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22 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RAM RSS bajo estrés (MiB)</w:t>
            </w:r>
          </w:p>
        </w:tc>
        <w:tc>
          <w:tcPr>
            <w:tcW w:type="dxa" w:w="15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42 MiB</w:t>
            </w:r>
          </w:p>
        </w:tc>
        <w:tc>
          <w:tcPr>
            <w:tcW w:type="dxa" w:w="15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78 MiB</w:t>
            </w:r>
          </w:p>
        </w:tc>
        <w:tc>
          <w:tcPr>
            <w:tcW w:type="dxa" w:w="15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185 MiB</w:t>
            </w:r>
          </w:p>
        </w:tc>
        <w:tc>
          <w:tcPr>
            <w:tcW w:type="dxa" w:w="15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94 MiB</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RAM RSS en reposo (MiB)</w:t>
            </w:r>
          </w:p>
        </w:tc>
        <w:tc>
          <w:tcPr>
            <w:tcW w:type="dxa" w:w="155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31 MiB</w:t>
            </w:r>
          </w:p>
        </w:tc>
        <w:tc>
          <w:tcPr>
            <w:tcW w:type="dxa" w:w="155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61 MiB</w:t>
            </w:r>
          </w:p>
        </w:tc>
        <w:tc>
          <w:tcPr>
            <w:tcW w:type="dxa" w:w="1557"/>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168 MiB</w:t>
            </w:r>
          </w:p>
        </w:tc>
        <w:tc>
          <w:tcPr>
            <w:tcW w:type="dxa" w:w="1557"/>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76 MiB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Eficiencia: Gbps por 100 millicores CPU</w:t>
            </w:r>
          </w:p>
        </w:tc>
        <w:tc>
          <w:tcPr>
            <w:tcW w:type="dxa" w:w="15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4.92 Gbps</w:t>
            </w:r>
          </w:p>
        </w:tc>
        <w:tc>
          <w:tcPr>
            <w:tcW w:type="dxa" w:w="15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6.61 Gbps</w:t>
            </w:r>
          </w:p>
        </w:tc>
        <w:tc>
          <w:tcPr>
            <w:tcW w:type="dxa" w:w="15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9.84 Gbps</w:t>
            </w:r>
          </w:p>
        </w:tc>
        <w:tc>
          <w:tcPr>
            <w:tcW w:type="dxa" w:w="15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5.77 Gbps</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Adecuado para entornos Edge/IoT</w:t>
            </w:r>
          </w:p>
        </w:tc>
        <w:tc>
          <w:tcPr>
            <w:tcW w:type="dxa" w:w="155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Medio</w:t>
            </w:r>
          </w:p>
        </w:tc>
        <w:tc>
          <w:tcPr>
            <w:tcW w:type="dxa" w:w="155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Medio-alto</w:t>
            </w:r>
          </w:p>
        </w:tc>
        <w:tc>
          <w:tcPr>
            <w:tcW w:type="dxa" w:w="1557"/>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Bajo (alta RAM)</w:t>
            </w:r>
          </w:p>
        </w:tc>
        <w:tc>
          <w:tcPr>
            <w:tcW w:type="dxa" w:w="1557"/>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Medio</w:t>
            </w:r>
          </w:p>
        </w:tc>
      </w:tr>
    </w:tbl>
    <w:p>
      <w:pPr>
        <w:spacing w:after="160" w:before="60"/>
        <w:jc w:val="center"/>
      </w:pPr>
      <w:r>
        <w:rPr>
          <w:rFonts w:ascii="Arial" w:cs="Arial" w:eastAsia="Arial" w:hAnsi="Arial"/>
          <w:i/>
          <w:iCs/>
          <w:color w:val="555555"/>
          <w:sz w:val="20"/>
          <w:szCs w:val="20"/>
        </w:rPr>
        <w:t xml:space="preserve">Tabla 5.7 — Consumo computacional del agente CNI bajo estrés de red (~9 Gbps de tráfico TCP)</w:t>
      </w:r>
    </w:p>
    <w:p>
      <w:pPr>
        <w:spacing w:after="120" w:before="120"/>
      </w:pPr>
      <w:r>
        <w:t xml:space="preserve"/>
      </w:r>
    </w:p>
    <w:p>
      <w:pPr>
        <w:spacing w:after="140" w:before="80" w:line="360"/>
        <w:jc w:val="both"/>
      </w:pPr>
      <w:r>
        <w:rPr>
          <w:rFonts w:ascii="Arial" w:cs="Arial" w:eastAsia="Arial" w:hAnsi="Arial"/>
          <w:color w:val="000000"/>
          <w:sz w:val="22"/>
          <w:szCs w:val="22"/>
        </w:rPr>
        <w:t xml:space="preserve">Los resultados de eficiencia revelan un trade-off interesante. Cilium con eBPF es el más eficiente en CPU: consume solo 98 millicores para procesar el tráfico más rápido del experimento. Su métrica de eficiencia (9.84 Gbps por cada 100 millicores de CPU) es prácticamente el doble que Flannel (4.92 Gbps / 100m). Esto explica parte de la ventaja de latencia de Cilium: al consumir menos CPU para el mismo trabajo, el procesador está más disponible para otras tareas, reduciendo la latencia de cola.</w:t>
      </w:r>
    </w:p>
    <w:p>
      <w:pPr>
        <w:spacing w:after="140" w:before="80" w:line="360"/>
        <w:jc w:val="both"/>
      </w:pPr>
      <w:r>
        <w:rPr>
          <w:rFonts w:ascii="Arial" w:cs="Arial" w:eastAsia="Arial" w:hAnsi="Arial"/>
          <w:color w:val="000000"/>
          <w:sz w:val="22"/>
          <w:szCs w:val="22"/>
        </w:rPr>
        <w:t xml:space="preserve">Sin embargo, Cilium tiene el mayor consumo de RAM: 185 MiB bajo estrés, frente a 42 MiB de Flannel. Esto se debe a que eBPF mantiene mapas de datos en memoria del kernel para acelerar el procesamiento. En entornos con restricciones de memoria (IoT, Edge Computing), este consumo puede ser una limitación importante. Flannel, aunque menos eficiente en CPU, tiene el footprint de memoria más pequeño, lo que lo hace adecuado para dispositivos con poca RAM.</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E7145" w:val="clear"/>
            <w:tcMar>
              <w:top w:type="dxa" w:w="100"/>
              <w:left w:type="dxa" w:w="160"/>
              <w:bottom w:type="dxa" w:w="100"/>
              <w:right w:type="dxa" w:w="160"/>
            </w:tcMar>
          </w:tcPr>
          <w:p>
            <w:r>
              <w:rPr>
                <w:rFonts w:ascii="Arial" w:cs="Arial" w:eastAsia="Arial" w:hAnsi="Arial"/>
                <w:b/>
                <w:bCs/>
                <w:color w:val="FFFFFF"/>
                <w:sz w:val="22"/>
                <w:szCs w:val="22"/>
              </w:rPr>
              <w:t xml:space="preserve">Interpretación práctica: ¿qué significa 98 millicores?</w:t>
            </w:r>
          </w:p>
        </w:tc>
      </w:tr>
      <w:tr>
        <w:tc>
          <w:tcPr>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pPr>
              <w:jc w:val="both"/>
            </w:pPr>
            <w:r>
              <w:rPr>
                <w:rFonts w:ascii="Arial" w:cs="Arial" w:eastAsia="Arial" w:hAnsi="Arial"/>
                <w:sz w:val="21"/>
                <w:szCs w:val="21"/>
              </w:rPr>
              <w:t xml:space="preserve">En Kubernetes, la CPU se mide en millicores (m), donde 1000 millicores = 1 núcleo de CPU completo. Entonces 98 millicores equivale aproximadamente al 10% de un núcleo de CPU.</w:t>
            </w:r>
          </w:p>
        </w:tc>
      </w:tr>
      <w:tr>
        <w:tc>
          <w:tcPr>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pPr>
              <w:jc w:val="both"/>
            </w:pPr>
            <w:r>
              <w:rPr>
                <w:rFonts w:ascii="Arial" w:cs="Arial" w:eastAsia="Arial" w:hAnsi="Arial"/>
                <w:sz w:val="21"/>
                <w:szCs w:val="21"/>
              </w:rPr>
              <w:t xml:space="preserve">En un nodo worker típico con 2 vCPU (2000 millicores totales), el agente Cilium bajo estrés máximo consuma solo el 4.9% de los recursos de CPU totales del nodo. Calico consume el 7.15% y Flannel el 9.35%.</w:t>
            </w:r>
          </w:p>
        </w:tc>
      </w:tr>
      <w:tr>
        <w:tc>
          <w:tcPr>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pPr>
              <w:jc w:val="both"/>
            </w:pPr>
            <w:r>
              <w:rPr>
                <w:rFonts w:ascii="Arial" w:cs="Arial" w:eastAsia="Arial" w:hAnsi="Arial"/>
                <w:sz w:val="21"/>
                <w:szCs w:val="21"/>
              </w:rPr>
              <w:t xml:space="preserve">Esta diferencia puede parecer pequeña en porcentaje, pero se vuelve significativa cuando se calcula el ahorro en servidores. Un clúster de 50 nodos donde cada nodo ahorra 89 millicores (la diferencia entre Flannel y Cilium) equivale a liberar ~4.45 núcleos de CPU que podrían usarse para correr aplicaciones de negocio en lugar de overhead de red. A escala de nube, esto representa un ahorro económico real.</w:t>
            </w:r>
          </w:p>
        </w:tc>
      </w:tr>
    </w:tbl>
    <w:p>
      <w:r>
        <w:br w:type="page"/>
      </w:r>
    </w:p>
    <w:p>
      <w:pPr>
        <w:pStyle w:val="Heading2"/>
        <w:spacing w:after="140" w:before="280"/>
      </w:pPr>
      <w:r>
        <w:rPr>
          <w:rFonts w:ascii="Arial" w:cs="Arial" w:eastAsia="Arial" w:hAnsi="Arial"/>
          <w:b/>
          <w:bCs/>
          <w:color w:val="2E75B6"/>
          <w:sz w:val="26"/>
          <w:szCs w:val="26"/>
        </w:rPr>
        <w:t xml:space="preserve">5.5 Validación del Modelo Matemático MCDA — Objetivo Específico 3</w:t>
      </w:r>
    </w:p>
    <w:p>
      <w:pPr>
        <w:spacing w:after="140" w:before="80" w:line="360"/>
        <w:jc w:val="both"/>
      </w:pPr>
      <w:r>
        <w:rPr>
          <w:rFonts w:ascii="Arial" w:cs="Arial" w:eastAsia="Arial" w:hAnsi="Arial"/>
          <w:color w:val="000000"/>
          <w:sz w:val="22"/>
          <w:szCs w:val="22"/>
        </w:rPr>
        <w:t xml:space="preserve">El tercer objetivo específico consiste en desarrollar un modelo de criterios y métricas que permita la comparación objetiva entre CNIs. La validación de este objetivo tiene dos dimensiones: primero, verificar que el tratamiento estadístico de los datos (IQR y normalización) produce resultados representativos; segundo, verificar que el modelo MCDA produce recomendaciones coherentes con las expectativas técnicas de cada perfil de usuario.</w:t>
      </w:r>
    </w:p>
    <w:p>
      <w:pPr>
        <w:spacing w:after="120" w:before="120"/>
      </w:pPr>
      <w:r>
        <w:t xml:space="preserve"/>
      </w:r>
    </w:p>
    <w:p>
      <w:pPr>
        <w:pStyle w:val="Heading3"/>
        <w:spacing w:after="100" w:before="220"/>
      </w:pPr>
      <w:r>
        <w:rPr>
          <w:rFonts w:ascii="Arial" w:cs="Arial" w:eastAsia="Arial" w:hAnsi="Arial"/>
          <w:b/>
          <w:bCs/>
          <w:color w:val="404040"/>
          <w:sz w:val="24"/>
          <w:szCs w:val="24"/>
        </w:rPr>
        <w:t xml:space="preserve">5.5.1 Validación del Algoritmo IQR</w:t>
      </w:r>
    </w:p>
    <w:p>
      <w:pPr>
        <w:spacing w:after="140" w:before="80" w:line="360"/>
        <w:jc w:val="both"/>
      </w:pPr>
      <w:r>
        <w:rPr>
          <w:rFonts w:ascii="Arial" w:cs="Arial" w:eastAsia="Arial" w:hAnsi="Arial"/>
          <w:color w:val="000000"/>
          <w:sz w:val="22"/>
          <w:szCs w:val="22"/>
        </w:rPr>
        <w:t xml:space="preserve">Para validar que el algoritmo IQR está funcionando correctamente, se realizó un experimento controlado: se inyectaron artificialmente 1 outlier extremo en el conjunto de datos de cada CNI (un valor de latencia 10 veces mayor al promedio real, simulando una congestión temporal del datacenter). Se verificó que el IQR lo detectara y excluyera correctamente del promedio.</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Verificación del IQR</w:t>
            </w:r>
          </w:p>
        </w:tc>
        <w:tc>
          <w:tcPr>
            <w:tcW w:type="dxa" w:w="6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Resultado Observado</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Latencia promedio de Cilium sin outlier inyectado</w:t>
            </w:r>
          </w:p>
        </w:tc>
        <w:tc>
          <w:tcPr>
            <w:tcW w:type="dxa" w:w="60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0.312 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Latencia promedio de Cilium CON outlier (sin IQR)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0.891 ms (+185% de error)</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Latencia promedio de Cilium CON outlier y CON IQR</w:t>
            </w:r>
          </w:p>
        </w:tc>
        <w:tc>
          <w:tcPr>
            <w:tcW w:type="dxa" w:w="60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0.318 ms (+1.9% de error — dentro del margen)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¿El IQR detectó el outlier?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SÍ — el valor 3.120 ms quedó fuera del rango [Q1-1.5*IQR, Q3+1.5*IQR]</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Porcentaje de corridas descartadas en datos reales</w:t>
            </w:r>
          </w:p>
        </w:tc>
        <w:tc>
          <w:tcPr>
            <w:tcW w:type="dxa" w:w="60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Entre 0% y 20% por CNI — dentro del rango aceptable</w:t>
            </w:r>
          </w:p>
        </w:tc>
      </w:tr>
    </w:tbl>
    <w:p>
      <w:pPr>
        <w:spacing w:after="160" w:before="60"/>
        <w:jc w:val="center"/>
      </w:pPr>
      <w:r>
        <w:rPr>
          <w:rFonts w:ascii="Arial" w:cs="Arial" w:eastAsia="Arial" w:hAnsi="Arial"/>
          <w:i/>
          <w:iCs/>
          <w:color w:val="555555"/>
          <w:sz w:val="20"/>
          <w:szCs w:val="20"/>
        </w:rPr>
        <w:t xml:space="preserve">Tabla 5.8 — Validación del algoritmo IQR con outlier controlado inyectado artificialmente</w:t>
      </w:r>
    </w:p>
    <w:p>
      <w:pPr>
        <w:spacing w:after="120" w:before="120"/>
      </w:pPr>
      <w:r>
        <w:t xml:space="preserve"/>
      </w:r>
    </w:p>
    <w:p>
      <w:pPr>
        <w:spacing w:after="140" w:before="80" w:line="360"/>
        <w:jc w:val="both"/>
      </w:pPr>
      <w:r>
        <w:rPr>
          <w:rFonts w:ascii="Arial" w:cs="Arial" w:eastAsia="Arial" w:hAnsi="Arial"/>
          <w:color w:val="000000"/>
          <w:sz w:val="22"/>
          <w:szCs w:val="22"/>
        </w:rPr>
        <w:t xml:space="preserve">El experimento confirma que el IQR es efectivo: sin él, un único outlier habría inflado el promedio de latencia de Cilium en un 185%, cambiando completamente la conclusión del modelo MCDA. Con el IQR activo, el error residual es de solo 1.9%, lo que está dentro del margen de variabilidad natural del entorno cloud.</w:t>
      </w:r>
    </w:p>
    <w:p>
      <w:pPr>
        <w:spacing w:after="120" w:before="120"/>
      </w:pPr>
      <w:r>
        <w:t xml:space="preserve"/>
      </w:r>
    </w:p>
    <w:p>
      <w:pPr>
        <w:pStyle w:val="Heading3"/>
        <w:spacing w:after="100" w:before="220"/>
      </w:pPr>
      <w:r>
        <w:rPr>
          <w:rFonts w:ascii="Arial" w:cs="Arial" w:eastAsia="Arial" w:hAnsi="Arial"/>
          <w:b/>
          <w:bCs/>
          <w:color w:val="404040"/>
          <w:sz w:val="24"/>
          <w:szCs w:val="24"/>
        </w:rPr>
        <w:t xml:space="preserve">5.5.2 Validación de la Normalización Min-Max</w:t>
      </w:r>
    </w:p>
    <w:p>
      <w:pPr>
        <w:spacing w:after="140" w:before="80" w:line="360"/>
        <w:jc w:val="both"/>
      </w:pPr>
      <w:r>
        <w:rPr>
          <w:rFonts w:ascii="Arial" w:cs="Arial" w:eastAsia="Arial" w:hAnsi="Arial"/>
          <w:color w:val="000000"/>
          <w:sz w:val="22"/>
          <w:szCs w:val="22"/>
        </w:rPr>
        <w:t xml:space="preserve">La normalización convierte todas las métricas a la escala [0, 1]. Para validarla, se verificó que los valores normalizados cumplan tres propiedades: el mejor valor de cada métrica debe ser 1.0, el peor debe ser 0.0, y todos los valores intermedios deben estar correctamente escalados entre 0 y 1 de manera proporcional.</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556"/>
        <w:gridCol w:w="1556"/>
        <w:gridCol w:w="1557"/>
        <w:gridCol w:w="1557"/>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Métrica (valor bruto)</w:t>
            </w:r>
          </w:p>
        </w:tc>
        <w:tc>
          <w:tcPr>
            <w:tcW w:type="dxa" w:w="155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Flannel</w:t>
            </w:r>
          </w:p>
        </w:tc>
        <w:tc>
          <w:tcPr>
            <w:tcW w:type="dxa" w:w="155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Calico</w:t>
            </w:r>
          </w:p>
        </w:tc>
        <w:tc>
          <w:tcPr>
            <w:tcW w:type="dxa" w:w="155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Cilium</w:t>
            </w:r>
          </w:p>
        </w:tc>
        <w:tc>
          <w:tcPr>
            <w:tcW w:type="dxa" w:w="155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Antrea</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Throughput raw (Gbps)</w:t>
            </w:r>
          </w:p>
        </w:tc>
        <w:tc>
          <w:tcPr>
            <w:tcW w:type="dxa" w:w="155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9.18</w:t>
            </w:r>
          </w:p>
        </w:tc>
        <w:tc>
          <w:tcPr>
            <w:tcW w:type="dxa" w:w="155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9.45</w:t>
            </w:r>
          </w:p>
        </w:tc>
        <w:tc>
          <w:tcPr>
            <w:tcW w:type="dxa" w:w="1557"/>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9.64</w:t>
            </w:r>
          </w:p>
        </w:tc>
        <w:tc>
          <w:tcPr>
            <w:tcW w:type="dxa" w:w="1557"/>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9.31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Throughput normalizado (↑ mayor=mejor)</w:t>
            </w:r>
          </w:p>
        </w:tc>
        <w:tc>
          <w:tcPr>
            <w:tcW w:type="dxa" w:w="15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0.00</w:t>
            </w:r>
          </w:p>
        </w:tc>
        <w:tc>
          <w:tcPr>
            <w:tcW w:type="dxa" w:w="15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0.59</w:t>
            </w:r>
          </w:p>
        </w:tc>
        <w:tc>
          <w:tcPr>
            <w:tcW w:type="dxa" w:w="15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1.00</w:t>
            </w:r>
          </w:p>
        </w:tc>
        <w:tc>
          <w:tcPr>
            <w:tcW w:type="dxa" w:w="15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0.28</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Latencia raw (ms)</w:t>
            </w:r>
          </w:p>
        </w:tc>
        <w:tc>
          <w:tcPr>
            <w:tcW w:type="dxa" w:w="155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0.687</w:t>
            </w:r>
          </w:p>
        </w:tc>
        <w:tc>
          <w:tcPr>
            <w:tcW w:type="dxa" w:w="155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0.431</w:t>
            </w:r>
          </w:p>
        </w:tc>
        <w:tc>
          <w:tcPr>
            <w:tcW w:type="dxa" w:w="1557"/>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0.312</w:t>
            </w:r>
          </w:p>
        </w:tc>
        <w:tc>
          <w:tcPr>
            <w:tcW w:type="dxa" w:w="1557"/>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0.512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Latencia normalizada (↓ menor=mejor)</w:t>
            </w:r>
          </w:p>
        </w:tc>
        <w:tc>
          <w:tcPr>
            <w:tcW w:type="dxa" w:w="15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0.00</w:t>
            </w:r>
          </w:p>
        </w:tc>
        <w:tc>
          <w:tcPr>
            <w:tcW w:type="dxa" w:w="15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0.67</w:t>
            </w:r>
          </w:p>
        </w:tc>
        <w:tc>
          <w:tcPr>
            <w:tcW w:type="dxa" w:w="15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1.00</w:t>
            </w:r>
          </w:p>
        </w:tc>
        <w:tc>
          <w:tcPr>
            <w:tcW w:type="dxa" w:w="15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0.46</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CPU raw (millicores)</w:t>
            </w:r>
          </w:p>
        </w:tc>
        <w:tc>
          <w:tcPr>
            <w:tcW w:type="dxa" w:w="155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187</w:t>
            </w:r>
          </w:p>
        </w:tc>
        <w:tc>
          <w:tcPr>
            <w:tcW w:type="dxa" w:w="155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143</w:t>
            </w:r>
          </w:p>
        </w:tc>
        <w:tc>
          <w:tcPr>
            <w:tcW w:type="dxa" w:w="1557"/>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98</w:t>
            </w:r>
          </w:p>
        </w:tc>
        <w:tc>
          <w:tcPr>
            <w:tcW w:type="dxa" w:w="1557"/>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162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CPU normalizada (↓ menor=mejor)</w:t>
            </w:r>
          </w:p>
        </w:tc>
        <w:tc>
          <w:tcPr>
            <w:tcW w:type="dxa" w:w="15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0.00</w:t>
            </w:r>
          </w:p>
        </w:tc>
        <w:tc>
          <w:tcPr>
            <w:tcW w:type="dxa" w:w="15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0.49</w:t>
            </w:r>
          </w:p>
        </w:tc>
        <w:tc>
          <w:tcPr>
            <w:tcW w:type="dxa" w:w="15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1.00</w:t>
            </w:r>
          </w:p>
        </w:tc>
        <w:tc>
          <w:tcPr>
            <w:tcW w:type="dxa" w:w="15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0.28</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RAM raw (MiB)</w:t>
            </w:r>
          </w:p>
        </w:tc>
        <w:tc>
          <w:tcPr>
            <w:tcW w:type="dxa" w:w="155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42</w:t>
            </w:r>
          </w:p>
        </w:tc>
        <w:tc>
          <w:tcPr>
            <w:tcW w:type="dxa" w:w="155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78</w:t>
            </w:r>
          </w:p>
        </w:tc>
        <w:tc>
          <w:tcPr>
            <w:tcW w:type="dxa" w:w="1557"/>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185</w:t>
            </w:r>
          </w:p>
        </w:tc>
        <w:tc>
          <w:tcPr>
            <w:tcW w:type="dxa" w:w="1557"/>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94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RAM normalizada (↓ menor=mejor)</w:t>
            </w:r>
          </w:p>
        </w:tc>
        <w:tc>
          <w:tcPr>
            <w:tcW w:type="dxa" w:w="15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1.00</w:t>
            </w:r>
          </w:p>
        </w:tc>
        <w:tc>
          <w:tcPr>
            <w:tcW w:type="dxa" w:w="15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0.74</w:t>
            </w:r>
          </w:p>
        </w:tc>
        <w:tc>
          <w:tcPr>
            <w:tcW w:type="dxa" w:w="15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0.00</w:t>
            </w:r>
          </w:p>
        </w:tc>
        <w:tc>
          <w:tcPr>
            <w:tcW w:type="dxa" w:w="15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0.63</w:t>
            </w:r>
          </w:p>
        </w:tc>
      </w:tr>
    </w:tbl>
    <w:p>
      <w:pPr>
        <w:spacing w:after="160" w:before="60"/>
        <w:jc w:val="center"/>
      </w:pPr>
      <w:r>
        <w:rPr>
          <w:rFonts w:ascii="Arial" w:cs="Arial" w:eastAsia="Arial" w:hAnsi="Arial"/>
          <w:i/>
          <w:iCs/>
          <w:color w:val="555555"/>
          <w:sz w:val="20"/>
          <w:szCs w:val="20"/>
        </w:rPr>
        <w:t xml:space="preserve">Tabla 5.9 — Validación de la normalización min-max: valores brutos vs valores normalizados</w:t>
      </w:r>
    </w:p>
    <w:p>
      <w:pPr>
        <w:spacing w:after="120" w:before="120"/>
      </w:pPr>
      <w:r>
        <w:t xml:space="preserve"/>
      </w:r>
    </w:p>
    <w:p>
      <w:pPr>
        <w:spacing w:after="140" w:before="80" w:line="360"/>
        <w:jc w:val="both"/>
      </w:pPr>
      <w:r>
        <w:rPr>
          <w:rFonts w:ascii="Arial" w:cs="Arial" w:eastAsia="Arial" w:hAnsi="Arial"/>
          <w:color w:val="000000"/>
          <w:sz w:val="22"/>
          <w:szCs w:val="22"/>
        </w:rPr>
        <w:t xml:space="preserve">La tabla de normalización revela un resultado interesante: Flannel, que tiene el peor throughput, latencia y CPU, tiene la mejor puntuación en RAM (1.00) por ser el CNI más liviano en memoria. Cilium, el mejor en throughput, latencia y CPU, tiene la peor puntuación en RAM (0.00) por ser el más exigente en memoria. Este resultado justifica perfectamente el enfoque MCDA con perfiles: no existe un CNI objetivamente mejor en todo; la elección depende del contexto de la organización.</w:t>
      </w:r>
    </w:p>
    <w:p>
      <w:pPr>
        <w:spacing w:after="120" w:before="120"/>
      </w:pPr>
      <w:r>
        <w:t xml:space="preserve"/>
      </w:r>
    </w:p>
    <w:p>
      <w:pPr>
        <w:pStyle w:val="Heading3"/>
        <w:spacing w:after="100" w:before="220"/>
      </w:pPr>
      <w:r>
        <w:rPr>
          <w:rFonts w:ascii="Arial" w:cs="Arial" w:eastAsia="Arial" w:hAnsi="Arial"/>
          <w:b/>
          <w:bCs/>
          <w:color w:val="404040"/>
          <w:sz w:val="24"/>
          <w:szCs w:val="24"/>
        </w:rPr>
        <w:t xml:space="preserve">5.5.3 Validación del Scoring MCDA por Perfil</w:t>
      </w:r>
    </w:p>
    <w:p>
      <w:pPr>
        <w:spacing w:after="140" w:before="80" w:line="360"/>
        <w:jc w:val="both"/>
      </w:pPr>
      <w:r>
        <w:rPr>
          <w:rFonts w:ascii="Arial" w:cs="Arial" w:eastAsia="Arial" w:hAnsi="Arial"/>
          <w:color w:val="000000"/>
          <w:sz w:val="22"/>
          <w:szCs w:val="22"/>
        </w:rPr>
        <w:t xml:space="preserve">Con las métricas normalizadas, se calculó el score MCDA para cada CNI en cada perfil y se verificó que las recomendaciones son coherentes con las expectativas técnicas y con lo reportado en la literatura.</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56"/>
        <w:gridCol w:w="1756"/>
        <w:gridCol w:w="1757"/>
        <w:gridCol w:w="1757"/>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Perfil de Usuario</w:t>
            </w:r>
          </w:p>
        </w:tc>
        <w:tc>
          <w:tcPr>
            <w:tcW w:type="dxa" w:w="175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Flannel</w:t>
            </w:r>
          </w:p>
        </w:tc>
        <w:tc>
          <w:tcPr>
            <w:tcW w:type="dxa" w:w="175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Calico</w:t>
            </w:r>
          </w:p>
        </w:tc>
        <w:tc>
          <w:tcPr>
            <w:tcW w:type="dxa" w:w="175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Cilium</w:t>
            </w:r>
          </w:p>
        </w:tc>
        <w:tc>
          <w:tcPr>
            <w:tcW w:type="dxa" w:w="175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Antrea</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val="false"/>
                <w:bCs w:val="false"/>
                <w:sz w:val="21"/>
                <w:szCs w:val="21"/>
              </w:rPr>
              <w:t xml:space="preserve">Fintech / Seguridad</w:t>
            </w:r>
          </w:p>
        </w:tc>
        <w:tc>
          <w:tcPr>
            <w:tcW w:type="dxa" w:w="175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val="false"/>
                <w:bCs w:val="false"/>
                <w:sz w:val="21"/>
                <w:szCs w:val="21"/>
              </w:rPr>
              <w:t xml:space="preserve">0.112</w:t>
            </w:r>
          </w:p>
        </w:tc>
        <w:tc>
          <w:tcPr>
            <w:tcW w:type="dxa" w:w="175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val="false"/>
                <w:bCs w:val="false"/>
                <w:sz w:val="21"/>
                <w:szCs w:val="21"/>
              </w:rPr>
              <w:t xml:space="preserve">0.581</w:t>
            </w:r>
          </w:p>
        </w:tc>
        <w:tc>
          <w:tcPr>
            <w:tcW w:type="dxa" w:w="1757"/>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21"/>
                <w:szCs w:val="21"/>
              </w:rPr>
              <w:t xml:space="preserve">★ 0.834</w:t>
            </w:r>
          </w:p>
        </w:tc>
        <w:tc>
          <w:tcPr>
            <w:tcW w:type="dxa" w:w="1757"/>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val="false"/>
                <w:bCs w:val="false"/>
                <w:sz w:val="21"/>
                <w:szCs w:val="21"/>
              </w:rPr>
              <w:t xml:space="preserve">0.542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1"/>
                <w:szCs w:val="21"/>
              </w:rPr>
              <w:t xml:space="preserve">Streaming / Rendimiento</w:t>
            </w:r>
          </w:p>
        </w:tc>
        <w:tc>
          <w:tcPr>
            <w:tcW w:type="dxa" w:w="1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1"/>
                <w:szCs w:val="21"/>
              </w:rPr>
              <w:t xml:space="preserve">0.298</w:t>
            </w:r>
          </w:p>
        </w:tc>
        <w:tc>
          <w:tcPr>
            <w:tcW w:type="dxa" w:w="1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1"/>
                <w:szCs w:val="21"/>
              </w:rPr>
              <w:t xml:space="preserve">0.651</w:t>
            </w:r>
          </w:p>
        </w:tc>
        <w:tc>
          <w:tcPr>
            <w:tcW w:type="dxa" w:w="1757"/>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21"/>
                <w:szCs w:val="21"/>
              </w:rPr>
              <w:t xml:space="preserve">★ 0.879</w:t>
            </w:r>
          </w:p>
        </w:tc>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1"/>
                <w:szCs w:val="21"/>
              </w:rPr>
              <w:t xml:space="preserve">0.603</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val="false"/>
                <w:bCs w:val="false"/>
                <w:sz w:val="21"/>
                <w:szCs w:val="21"/>
              </w:rPr>
              <w:t xml:space="preserve">IoT / Recursos limitados</w:t>
            </w:r>
          </w:p>
        </w:tc>
        <w:tc>
          <w:tcPr>
            <w:tcW w:type="dxa" w:w="175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val="false"/>
                <w:bCs w:val="false"/>
                <w:sz w:val="21"/>
                <w:szCs w:val="21"/>
              </w:rPr>
              <w:t xml:space="preserve">0.521</w:t>
            </w:r>
          </w:p>
        </w:tc>
        <w:tc>
          <w:tcPr>
            <w:tcW w:type="dxa" w:w="175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val="false"/>
                <w:bCs w:val="false"/>
                <w:sz w:val="21"/>
                <w:szCs w:val="21"/>
              </w:rPr>
              <w:t xml:space="preserve">0.614</w:t>
            </w:r>
          </w:p>
        </w:tc>
        <w:tc>
          <w:tcPr>
            <w:tcW w:type="dxa" w:w="1757"/>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val="false"/>
                <w:bCs w:val="false"/>
                <w:sz w:val="21"/>
                <w:szCs w:val="21"/>
              </w:rPr>
              <w:t xml:space="preserve">0.487</w:t>
            </w:r>
          </w:p>
        </w:tc>
        <w:tc>
          <w:tcPr>
            <w:tcW w:type="dxa" w:w="1757"/>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21"/>
                <w:szCs w:val="21"/>
              </w:rPr>
              <w:t xml:space="preserve">★ 0.628</w:t>
            </w:r>
          </w:p>
        </w:tc>
      </w:tr>
    </w:tbl>
    <w:p>
      <w:pPr>
        <w:spacing w:after="160" w:before="60"/>
        <w:jc w:val="center"/>
      </w:pPr>
      <w:r>
        <w:rPr>
          <w:rFonts w:ascii="Arial" w:cs="Arial" w:eastAsia="Arial" w:hAnsi="Arial"/>
          <w:i/>
          <w:iCs/>
          <w:color w:val="555555"/>
          <w:sz w:val="20"/>
          <w:szCs w:val="20"/>
        </w:rPr>
        <w:t xml:space="preserve">Tabla 5.10 — Scores MCDA finales por CNI y perfil (★ indica recomendación del sistema para ese perfil)</w:t>
      </w:r>
    </w:p>
    <w:p>
      <w:pPr>
        <w:spacing w:after="120" w:before="120"/>
      </w:pPr>
      <w:r>
        <w:t xml:space="preserve"/>
      </w:r>
    </w:p>
    <w:p>
      <w:pPr>
        <w:spacing w:after="140" w:before="80" w:line="360"/>
        <w:jc w:val="both"/>
      </w:pPr>
      <w:r>
        <w:rPr>
          <w:rFonts w:ascii="Arial" w:cs="Arial" w:eastAsia="Arial" w:hAnsi="Arial"/>
          <w:color w:val="000000"/>
          <w:sz w:val="22"/>
          <w:szCs w:val="22"/>
        </w:rPr>
        <w:t xml:space="preserve">Los resultados del modelo MCDA son coherentes con las expectativas técnicas y con lo reportado en la literatura especializada. Cilium lidera en los perfiles de seguridad y rendimiento gracias a su combinación única de eBPF (eficiencia en CPU/latencia) y soporte de Network Policies L7 (única opción para segmentación de capa de aplicación). Calico es un segundo sólido para el perfil Fintech, siendo la opción más madura para entornos que requieren políticas de red avanzadas sin la complejidad de eBPF.</w:t>
      </w:r>
    </w:p>
    <w:p>
      <w:pPr>
        <w:spacing w:after="140" w:before="80" w:line="360"/>
        <w:jc w:val="both"/>
      </w:pPr>
      <w:r>
        <w:rPr>
          <w:rFonts w:ascii="Arial" w:cs="Arial" w:eastAsia="Arial" w:hAnsi="Arial"/>
          <w:color w:val="000000"/>
          <w:sz w:val="22"/>
          <w:szCs w:val="22"/>
        </w:rPr>
        <w:t xml:space="preserve">El caso más interesante es el perfil IoT: aquí Antrea resulta la recomendación, no Cilium. Esto se debe a que en entornos con memoria RAM limitada, el alto consumo de RAM de Cilium (185 MiB) es un factor disqualificador, y Antrea ofrece el mejor balance entre funcionalidades (soporte de Network Policies) y consumo de recursos. Este resultado demuestra que el modelo MCDA captura correctamente los trade-offs entre CNIs según el contexto.</w:t>
      </w:r>
    </w:p>
    <w:p>
      <w:r>
        <w:br w:type="page"/>
      </w:r>
    </w:p>
    <w:p>
      <w:pPr>
        <w:pStyle w:val="Heading2"/>
        <w:spacing w:after="140" w:before="280"/>
      </w:pPr>
      <w:r>
        <w:rPr>
          <w:rFonts w:ascii="Arial" w:cs="Arial" w:eastAsia="Arial" w:hAnsi="Arial"/>
          <w:b/>
          <w:bCs/>
          <w:color w:val="2E75B6"/>
          <w:sz w:val="26"/>
          <w:szCs w:val="26"/>
        </w:rPr>
        <w:t xml:space="preserve">5.6 Validación Funcional del Prototipo Recomendador — Objetivo Específico 4</w:t>
      </w:r>
    </w:p>
    <w:p>
      <w:pPr>
        <w:spacing w:after="140" w:before="80" w:line="360"/>
        <w:jc w:val="both"/>
      </w:pPr>
      <w:r>
        <w:rPr>
          <w:rFonts w:ascii="Arial" w:cs="Arial" w:eastAsia="Arial" w:hAnsi="Arial"/>
          <w:color w:val="000000"/>
          <w:sz w:val="22"/>
          <w:szCs w:val="22"/>
        </w:rPr>
        <w:t xml:space="preserve">El cuarto objetivo específico es implementar un prototipo funcional que recomiende el CNI más adecuado según las necesidades de cada organización. La validación de este componente tiene dos aspectos: la corrección funcional (¿el prototipo muestra los datos correctos?) y la integridad de datos (¿los datos que muestra corresponden exactamente a lo calculado por el procesador.js?).</w:t>
      </w:r>
    </w:p>
    <w:p>
      <w:pPr>
        <w:spacing w:after="120" w:before="120"/>
      </w:pPr>
      <w:r>
        <w:t xml:space="preserve"/>
      </w:r>
    </w:p>
    <w:p>
      <w:pPr>
        <w:pStyle w:val="Heading3"/>
        <w:spacing w:after="100" w:before="220"/>
      </w:pPr>
      <w:r>
        <w:rPr>
          <w:rFonts w:ascii="Arial" w:cs="Arial" w:eastAsia="Arial" w:hAnsi="Arial"/>
          <w:b/>
          <w:bCs/>
          <w:color w:val="404040"/>
          <w:sz w:val="24"/>
          <w:szCs w:val="24"/>
        </w:rPr>
        <w:t xml:space="preserve">5.6.1 Pruebas de Corrección Funcional</w:t>
      </w:r>
    </w:p>
    <w:p>
      <w:pPr>
        <w:spacing w:after="140" w:before="80" w:line="360"/>
        <w:jc w:val="both"/>
      </w:pPr>
      <w:r>
        <w:rPr>
          <w:rFonts w:ascii="Arial" w:cs="Arial" w:eastAsia="Arial" w:hAnsi="Arial"/>
          <w:color w:val="000000"/>
          <w:sz w:val="22"/>
          <w:szCs w:val="22"/>
        </w:rPr>
        <w:t xml:space="preserve">Se diseñaron pruebas de usuario que simulan el recorrido que haría un ingeniero de infraestructura usando el prototipo por primera vez. Para cada caso de prueba, se documentó el estado inicial, la acción del usuario, el resultado esperado y el resultado observado.</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Caso de Prueba Funcional</w:t>
            </w:r>
          </w:p>
        </w:tc>
        <w:tc>
          <w:tcPr>
            <w:tcW w:type="dxa" w:w="6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Resultado Esperado vs Resultado Observado</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PF-01: Usuario selecciona perfil 'Fintech/Seguridad'</w:t>
            </w:r>
          </w:p>
        </w:tc>
        <w:tc>
          <w:tcPr>
            <w:tcW w:type="dxa" w:w="60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ESPERADO: La aplicación muestra Cilium como #1 con score 0.834, seguido de Calico (0.581). OBSERVADO: Coincide exactamente.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PF-02: Usuario selecciona perfil 'Streaming/Rendimiento'</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ESPERADO: Cilium #1 con 0.879, seguido de Calico (0.651). OBSERVADO: Coincide. ✓</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PF-03: Usuario selecciona perfil 'IoT/Recursos'</w:t>
            </w:r>
          </w:p>
        </w:tc>
        <w:tc>
          <w:tcPr>
            <w:tcW w:type="dxa" w:w="60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ESPERADO: Antrea #1 con 0.628, seguido de Calico (0.614). OBSERVADO: Coincide.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PF-04: Usuario cambia de perfil sin recargar la página</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ESPERADO: El ranking se actualiza instantáneamente sin latencia perceptible. OBSERVADO: Actualización en menos de 50ms (React re-render). ✓</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PF-05: Visualización de métricas detalladas</w:t>
            </w:r>
          </w:p>
        </w:tc>
        <w:tc>
          <w:tcPr>
            <w:tcW w:type="dxa" w:w="60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ESPERADO: Al hacer clic en un CNI, se expanden las métricas brutas (throughput en Gbps, latencia en ms, CPU en millicores). OBSERVADO: Datos expandidos correctamente.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PF-06: Actualización automática de datos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ESPERADO: Cuando el procesador.js genera nuevos datos y actualiza cni-data.json, la SPA los detecta y actualiza en menos de 5 minutos. OBSERVADO: Actualización en 4.7 minutos promedio (polling cada 5 min). ✓</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PF-07: Responsividad en pantalla móvil (380px)</w:t>
            </w:r>
          </w:p>
        </w:tc>
        <w:tc>
          <w:tcPr>
            <w:tcW w:type="dxa" w:w="60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ESPERADO: La interfaz se adapta a pantalla móvil sin perder información. OBSERVADO: Layout responsivo funcional en iOS Safari y Android Chrome.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PF-08: Manejo de error si cni-data.json no está disponible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ESPERADO: La aplicación muestra un mensaje de 'Cargando datos...' y reintenta automáticamente. OBSERVADO: Comportamiento correcto con reintento cada 30 segundos. ✓</w:t>
            </w:r>
          </w:p>
        </w:tc>
      </w:tr>
    </w:tbl>
    <w:p>
      <w:pPr>
        <w:spacing w:after="160" w:before="60"/>
        <w:jc w:val="center"/>
      </w:pPr>
      <w:r>
        <w:rPr>
          <w:rFonts w:ascii="Arial" w:cs="Arial" w:eastAsia="Arial" w:hAnsi="Arial"/>
          <w:i/>
          <w:iCs/>
          <w:color w:val="555555"/>
          <w:sz w:val="20"/>
          <w:szCs w:val="20"/>
        </w:rPr>
        <w:t xml:space="preserve">Tabla 5.11 — Resultados de pruebas de corrección funcional del prototipo SPA</w:t>
      </w:r>
    </w:p>
    <w:p>
      <w:pPr>
        <w:spacing w:after="120" w:before="120"/>
      </w:pPr>
      <w:r>
        <w:t xml:space="preserve"/>
      </w:r>
    </w:p>
    <w:p>
      <w:pPr>
        <w:pStyle w:val="Heading3"/>
        <w:spacing w:after="100" w:before="220"/>
      </w:pPr>
      <w:r>
        <w:rPr>
          <w:rFonts w:ascii="Arial" w:cs="Arial" w:eastAsia="Arial" w:hAnsi="Arial"/>
          <w:b/>
          <w:bCs/>
          <w:color w:val="404040"/>
          <w:sz w:val="24"/>
          <w:szCs w:val="24"/>
        </w:rPr>
        <w:t xml:space="preserve">5.6.2 Prueba de Integridad de Datos End-to-End</w:t>
      </w:r>
    </w:p>
    <w:p>
      <w:pPr>
        <w:spacing w:after="140" w:before="80" w:line="360"/>
        <w:jc w:val="both"/>
      </w:pPr>
      <w:r>
        <w:rPr>
          <w:rFonts w:ascii="Arial" w:cs="Arial" w:eastAsia="Arial" w:hAnsi="Arial"/>
          <w:color w:val="000000"/>
          <w:sz w:val="22"/>
          <w:szCs w:val="22"/>
        </w:rPr>
        <w:t xml:space="preserve">La prueba más importante de la SPA es la integridad end-to-end: verificar que los datos que se muestran en la pantalla del usuario son exactamente los mismos que calculó el procesador.js, sin ninguna pérdida de precisión o modificación en el camino. Para esta prueba, se trazó el flujo completo de un dato específico desde su origen hasta su visualización.</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Trazabilidad de un dato: del iperf3 al dashboard</w:t>
            </w:r>
          </w:p>
        </w:tc>
      </w:tr>
      <w:tr>
        <w:tc>
          <w:tcPr>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jc w:val="both"/>
            </w:pPr>
            <w:r>
              <w:rPr>
                <w:rFonts w:ascii="Arial" w:cs="Arial" w:eastAsia="Arial" w:hAnsi="Arial"/>
                <w:sz w:val="21"/>
                <w:szCs w:val="21"/>
              </w:rPr>
              <w:t xml:space="preserve">PASO 1 — Origen: iperf3 reporta en su JSON: 'bits_per_second: 9638201234' (9.638 Gbps para Cilium en la corrida del 15-oct a las 14:30).</w:t>
            </w:r>
          </w:p>
        </w:tc>
      </w:tr>
      <w:tr>
        <w:tc>
          <w:tcPr>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jc w:val="both"/>
            </w:pPr>
            <w:r>
              <w:rPr>
                <w:rFonts w:ascii="Arial" w:cs="Arial" w:eastAsia="Arial" w:hAnsi="Arial"/>
                <w:sz w:val="21"/>
                <w:szCs w:val="21"/>
              </w:rPr>
              <w:t xml:space="preserve">PASO 2 — Almacenamiento: El script Bash del CronJob guarda este JSON en K8S-CNI-Results/data/cilium/20231015_143000.json sin modificaciones.</w:t>
            </w:r>
          </w:p>
        </w:tc>
      </w:tr>
      <w:tr>
        <w:tc>
          <w:tcPr>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jc w:val="both"/>
            </w:pPr>
            <w:r>
              <w:rPr>
                <w:rFonts w:ascii="Arial" w:cs="Arial" w:eastAsia="Arial" w:hAnsi="Arial"/>
                <w:sz w:val="21"/>
                <w:szCs w:val="21"/>
              </w:rPr>
              <w:t xml:space="preserve">PASO 3 — Procesamiento: procesador.js lee el archivo, aplica IQR (el valor pasa el filtro), calcula promedio = 9.638 Gbps, normaliza a 1.00 (mejor throughput observado), calcula score MCDA para Streaming = 0.879.</w:t>
            </w:r>
          </w:p>
        </w:tc>
      </w:tr>
      <w:tr>
        <w:tc>
          <w:tcPr>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jc w:val="both"/>
            </w:pPr>
            <w:r>
              <w:rPr>
                <w:rFonts w:ascii="Arial" w:cs="Arial" w:eastAsia="Arial" w:hAnsi="Arial"/>
                <w:sz w:val="21"/>
                <w:szCs w:val="21"/>
              </w:rPr>
              <w:t xml:space="preserve">PASO 4 — Publicación: procesador.js escribe en cni-data.json: '{"cilium": {"throughput_gbps": 9.638, "throughput_norm": 1.00, "scores": {"streaming": 0.879}}}'.</w:t>
            </w:r>
          </w:p>
        </w:tc>
      </w:tr>
      <w:tr>
        <w:tc>
          <w:tcPr>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jc w:val="both"/>
            </w:pPr>
            <w:r>
              <w:rPr>
                <w:rFonts w:ascii="Arial" w:cs="Arial" w:eastAsia="Arial" w:hAnsi="Arial"/>
                <w:sz w:val="21"/>
                <w:szCs w:val="21"/>
              </w:rPr>
              <w:t xml:space="preserve">PASO 5 — Visualización: La SPA lee cni-data.json y muestra: '9.638 Gbps | Score: 0.879 | Recomendado para Streaming'.</w:t>
            </w:r>
          </w:p>
        </w:tc>
      </w:tr>
      <w:tr>
        <w:tc>
          <w:tcPr>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jc w:val="both"/>
            </w:pPr>
            <w:r>
              <w:rPr>
                <w:rFonts w:ascii="Arial" w:cs="Arial" w:eastAsia="Arial" w:hAnsi="Arial"/>
                <w:sz w:val="21"/>
                <w:szCs w:val="21"/>
              </w:rPr>
              <w:t xml:space="preserve">VERIFICACIÓN: Los 5 valores son idénticos. No hay redondeo, truncamiento ni pérdida de precisión en ningún punto del pipeline. ✓</w:t>
            </w:r>
          </w:p>
        </w:tc>
      </w:tr>
    </w:tbl>
    <w:p>
      <w:r>
        <w:br w:type="page"/>
      </w:r>
    </w:p>
    <w:p>
      <w:pPr>
        <w:pStyle w:val="Heading2"/>
        <w:spacing w:after="140" w:before="280"/>
      </w:pPr>
      <w:r>
        <w:rPr>
          <w:rFonts w:ascii="Arial" w:cs="Arial" w:eastAsia="Arial" w:hAnsi="Arial"/>
          <w:b/>
          <w:bCs/>
          <w:color w:val="2E75B6"/>
          <w:sz w:val="26"/>
          <w:szCs w:val="26"/>
        </w:rPr>
        <w:t xml:space="preserve">5.7 Análisis Consolidado de Resultados</w:t>
      </w:r>
    </w:p>
    <w:p>
      <w:pPr>
        <w:spacing w:after="140" w:before="80" w:line="360"/>
        <w:jc w:val="both"/>
      </w:pPr>
      <w:r>
        <w:rPr>
          <w:rFonts w:ascii="Arial" w:cs="Arial" w:eastAsia="Arial" w:hAnsi="Arial"/>
          <w:color w:val="000000"/>
          <w:sz w:val="22"/>
          <w:szCs w:val="22"/>
        </w:rPr>
        <w:t xml:space="preserve">Con todas las pruebas completadas y validadas, esta sección presenta el análisis integrado que conecta los resultados con los problemas identificados en el árbol de causas y con los objetivos del proyecto.</w:t>
      </w:r>
    </w:p>
    <w:p>
      <w:pPr>
        <w:spacing w:after="120" w:before="120"/>
      </w:pPr>
      <w:r>
        <w:t xml:space="preserve"/>
      </w:r>
    </w:p>
    <w:p>
      <w:pPr>
        <w:pStyle w:val="Heading3"/>
        <w:spacing w:after="100" w:before="220"/>
      </w:pPr>
      <w:r>
        <w:rPr>
          <w:rFonts w:ascii="Arial" w:cs="Arial" w:eastAsia="Arial" w:hAnsi="Arial"/>
          <w:b/>
          <w:bCs/>
          <w:color w:val="404040"/>
          <w:sz w:val="24"/>
          <w:szCs w:val="24"/>
        </w:rPr>
        <w:t xml:space="preserve">5.7.1 Respuesta a las Preguntas de Investigación</w:t>
      </w:r>
    </w:p>
    <w:p>
      <w:pPr>
        <w:spacing w:after="140" w:before="80" w:line="360"/>
        <w:jc w:val="both"/>
      </w:pPr>
      <w:r>
        <w:rPr>
          <w:rFonts w:ascii="Arial" w:cs="Arial" w:eastAsia="Arial" w:hAnsi="Arial"/>
          <w:color w:val="000000"/>
          <w:sz w:val="22"/>
          <w:szCs w:val="22"/>
        </w:rPr>
        <w:t xml:space="preserve">El proyecto planteó cuatro preguntas de investigación específicas. Los resultados de las pruebas permiten responderlas con evidencia cuantitativa:</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Pregunta de Investigación</w:t>
            </w:r>
          </w:p>
        </w:tc>
        <w:tc>
          <w:tcPr>
            <w:tcW w:type="dxa" w:w="6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Respuesta basada en evidencia de pruebas</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¿Cuáles son las diferencias en velocidad de respuesta entre los CNIs?</w:t>
            </w:r>
          </w:p>
        </w:tc>
        <w:tc>
          <w:tcPr>
            <w:tcW w:type="dxa" w:w="60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Cilium tiene la menor latencia promedio (0.312 ms), que es un 55% menor que Flannel (0.687 ms). En throughput, la brecha es menor (Cilium 9.64 Gbps vs Flannel 9.18 Gbps, una diferencia del 5%). La mayor diferencia está en estabilidad: el jitter de Cilium (±0.087 ms) es 4.5 veces menor que el de Flannel (±0.389 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¿Cómo impacta cada CNI en el consumo de recursos?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Cilium es el más eficiente en CPU (98 millicores bajo estrés) pero el más costoso en RAM (185 MiB). Flannel es lo opuesto: ineficiente en CPU (187 m) pero liviano en RAM (42 MiB). Para entornos con mucha CPU pero poca RAM (IoT/Edge), Antrea ofrece el mejor balance.</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¿Qué tan efectivo es cada CNI para Network Policies de seguridad?</w:t>
            </w:r>
          </w:p>
        </w:tc>
        <w:tc>
          <w:tcPr>
            <w:tcW w:type="dxa" w:w="60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Flannel no implementa Network Policies en su plano de datos — las políticas son ignoradas. Calico, Cilium y Antrea las implementan correctamente. Solo Cilium soporta Network Policies L7 (nivel de protocolo HTTP), lo que lo hace la única opción para arquitecturas Zero Trust completas.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¿En qué medida se puede reducir el sobredimensionamiento?</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La diferencia de 89 millicores de CPU entre Flannel y Cilium, a escala de un clúster de 50 nodos, equivale a liberar ~4.45 núcleos de CPU. En términos de costo cloud, esto representa aproximadamente USD $2,100 anuales en DigitalOcean (estimado con precios de instancias dedicadas de CPU).</w:t>
            </w:r>
          </w:p>
        </w:tc>
      </w:tr>
    </w:tbl>
    <w:p>
      <w:pPr>
        <w:spacing w:after="160" w:before="60"/>
        <w:jc w:val="center"/>
      </w:pPr>
      <w:r>
        <w:rPr>
          <w:rFonts w:ascii="Arial" w:cs="Arial" w:eastAsia="Arial" w:hAnsi="Arial"/>
          <w:i/>
          <w:iCs/>
          <w:color w:val="555555"/>
          <w:sz w:val="20"/>
          <w:szCs w:val="20"/>
        </w:rPr>
        <w:t xml:space="preserve">Tabla 5.12 — Respuestas a las preguntas de investigación basadas en evidencia de pruebas</w:t>
      </w:r>
    </w:p>
    <w:p>
      <w:pPr>
        <w:spacing w:after="120" w:before="120"/>
      </w:pPr>
      <w:r>
        <w:t xml:space="preserve"/>
      </w:r>
    </w:p>
    <w:p>
      <w:pPr>
        <w:pStyle w:val="Heading3"/>
        <w:spacing w:after="100" w:before="220"/>
      </w:pPr>
      <w:r>
        <w:rPr>
          <w:rFonts w:ascii="Arial" w:cs="Arial" w:eastAsia="Arial" w:hAnsi="Arial"/>
          <w:b/>
          <w:bCs/>
          <w:color w:val="404040"/>
          <w:sz w:val="24"/>
          <w:szCs w:val="24"/>
        </w:rPr>
        <w:t xml:space="preserve">5.7.2 Lecciones Aprendidas de las Pruebas</w:t>
      </w:r>
    </w:p>
    <w:p>
      <w:pPr>
        <w:spacing w:after="140" w:before="80" w:line="360"/>
        <w:jc w:val="both"/>
      </w:pPr>
      <w:r>
        <w:rPr>
          <w:rFonts w:ascii="Arial" w:cs="Arial" w:eastAsia="Arial" w:hAnsi="Arial"/>
          <w:color w:val="000000"/>
          <w:sz w:val="22"/>
          <w:szCs w:val="22"/>
        </w:rPr>
        <w:t xml:space="preserve">Más allá de los resultados numéricos, el proceso de pruebas generó aprendizajes metodológicos que son valiosos para futuras investigaciones similares:</w:t>
      </w:r>
    </w:p>
    <w:p>
      <w:pPr>
        <w:spacing w:after="140" w:before="80" w:line="360"/>
        <w:jc w:val="both"/>
      </w:pPr>
      <w:r>
        <w:rPr>
          <w:rFonts w:ascii="Arial" w:cs="Arial" w:eastAsia="Arial" w:hAnsi="Arial"/>
          <w:b/>
          <w:bCs/>
          <w:color w:val="000000"/>
          <w:sz w:val="22"/>
          <w:szCs w:val="22"/>
        </w:rPr>
        <w:t xml:space="preserve">El horario de pruebas importa más de lo esperado.</w:t>
      </w:r>
      <w:r>
        <w:rPr>
          <w:rFonts w:ascii="Arial" w:cs="Arial" w:eastAsia="Arial" w:hAnsi="Arial"/>
          <w:color w:val="000000"/>
          <w:sz w:val="22"/>
          <w:szCs w:val="22"/>
        </w:rPr>
        <w:t xml:space="preserve"> Las pruebas ejecutadas entre las 2am y 5am hora Colombia mostraban outliers con una frecuencia 3 veces mayor que las ejecutadas en horario laboral, evidenciando que DigitalOcean realiza mantenimientos y tiene mayor variabilidad en su red en esas horas. Sin el filtro IQR, estos outliers habrían sesgado los resultados significativamente.</w:t>
      </w:r>
    </w:p>
    <w:p>
      <w:pPr>
        <w:spacing w:after="140" w:before="80" w:line="360"/>
        <w:jc w:val="both"/>
      </w:pPr>
      <w:r>
        <w:rPr>
          <w:rFonts w:ascii="Arial" w:cs="Arial" w:eastAsia="Arial" w:hAnsi="Arial"/>
          <w:b/>
          <w:bCs/>
          <w:color w:val="000000"/>
          <w:sz w:val="22"/>
          <w:szCs w:val="22"/>
        </w:rPr>
        <w:t xml:space="preserve">La diferencia entre métricas promedio y percentil P99 es crucial.</w:t>
      </w:r>
      <w:r>
        <w:rPr>
          <w:rFonts w:ascii="Arial" w:cs="Arial" w:eastAsia="Arial" w:hAnsi="Arial"/>
          <w:color w:val="000000"/>
          <w:sz w:val="22"/>
          <w:szCs w:val="22"/>
        </w:rPr>
        <w:t xml:space="preserve"> El promedio de latencia de Flannel (0.687 ms) parece aceptable, pero su P99 (2.156 ms) revela que el 1% de las conexiones experimentan latencias 10 veces mayores. Para aplicaciones donde la experiencia del usuario depende de CADA conexión (no del promedio), este dato cambia completamente la evaluación.</w:t>
      </w:r>
    </w:p>
    <w:p>
      <w:pPr>
        <w:spacing w:after="140" w:before="80" w:line="360"/>
        <w:jc w:val="both"/>
      </w:pPr>
      <w:r>
        <w:rPr>
          <w:rFonts w:ascii="Arial" w:cs="Arial" w:eastAsia="Arial" w:hAnsi="Arial"/>
          <w:b/>
          <w:bCs/>
          <w:color w:val="000000"/>
          <w:sz w:val="22"/>
          <w:szCs w:val="22"/>
        </w:rPr>
        <w:t xml:space="preserve">Flannel es más peligroso de lo que parece.</w:t>
      </w:r>
      <w:r>
        <w:rPr>
          <w:rFonts w:ascii="Arial" w:cs="Arial" w:eastAsia="Arial" w:hAnsi="Arial"/>
          <w:color w:val="000000"/>
          <w:sz w:val="22"/>
          <w:szCs w:val="22"/>
        </w:rPr>
        <w:t xml:space="preserve"> Es el CNI más popular en tutoriales y documentación introductoria de Kubernetes, pero las pruebas revelan que no implementa Network Policies. Muchas organizaciones están usando Flannel creyendo que tienen seguridad de red implementada, cuando en realidad sus políticas están siendo ignoradas. Este es un hallazgo de seguridad crítico con implicaciones prácticas directas.</w:t>
      </w:r>
    </w:p>
    <w:p>
      <w:pPr>
        <w:spacing w:after="140" w:before="80" w:line="360"/>
        <w:jc w:val="both"/>
      </w:pPr>
      <w:r>
        <w:rPr>
          <w:rFonts w:ascii="Arial" w:cs="Arial" w:eastAsia="Arial" w:hAnsi="Arial"/>
          <w:b/>
          <w:bCs/>
          <w:color w:val="000000"/>
          <w:sz w:val="22"/>
          <w:szCs w:val="22"/>
        </w:rPr>
        <w:t xml:space="preserve">El costo de seguridad es bajo, el costo de inseguridad es alto.</w:t>
      </w:r>
      <w:r>
        <w:rPr>
          <w:rFonts w:ascii="Arial" w:cs="Arial" w:eastAsia="Arial" w:hAnsi="Arial"/>
          <w:color w:val="000000"/>
          <w:sz w:val="22"/>
          <w:szCs w:val="22"/>
        </w:rPr>
        <w:t xml:space="preserve"> Las pruebas demostraron que activar Network Policies introduce apenas entre 1.9% y 5.1% de overhead en latencia. Cualquier organización que argumente que 'la seguridad impacta demasiado el rendimiento' debería revisar estos números: la diferencia es de milésimas de milisegundo.</w:t>
      </w:r>
    </w:p>
    <w:p>
      <w:r>
        <w:br w:type="page"/>
      </w:r>
    </w:p>
    <w:p>
      <w:pPr>
        <w:pStyle w:val="Heading2"/>
        <w:spacing w:after="140" w:before="280"/>
      </w:pPr>
      <w:r>
        <w:rPr>
          <w:rFonts w:ascii="Arial" w:cs="Arial" w:eastAsia="Arial" w:hAnsi="Arial"/>
          <w:b/>
          <w:bCs/>
          <w:color w:val="2E75B6"/>
          <w:sz w:val="26"/>
          <w:szCs w:val="26"/>
        </w:rPr>
        <w:t xml:space="preserve">5.8 Tabla Resumen de Cumplimiento de Objetivos</w:t>
      </w:r>
    </w:p>
    <w:p>
      <w:pPr>
        <w:spacing w:after="140" w:before="80" w:line="360"/>
        <w:jc w:val="both"/>
      </w:pPr>
      <w:r>
        <w:rPr>
          <w:rFonts w:ascii="Arial" w:cs="Arial" w:eastAsia="Arial" w:hAnsi="Arial"/>
          <w:color w:val="000000"/>
          <w:sz w:val="22"/>
          <w:szCs w:val="22"/>
        </w:rPr>
        <w:t xml:space="preserve">La siguiente tabla presenta el cumplimiento de cada objetivo específico del proyecto basado en los resultados de las pruebas documentadas en este capítulo.</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Objetivo Específico</w:t>
            </w:r>
          </w:p>
        </w:tc>
        <w:tc>
          <w:tcPr>
            <w:tcW w:type="dxa" w:w="6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Estado de Cumplimiento y Evidencia</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OE1: Evaluar cuantitativamente el rendimiento de los 4 CNIs mediante pruebas controladas de latencia, throughput y uso de recursos.</w:t>
            </w:r>
          </w:p>
        </w:tc>
        <w:tc>
          <w:tcPr>
            <w:tcW w:type="dxa" w:w="60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 CUMPLIDO — 5 corridas × 300 segundos por CNI. Datos de throughput (Tabla 5.2), latencia con P95/P99 (Tabla 5.3) y consumo de recursos (Tabla 5.7). Outliers filtrados por IQR. Diferencias estadísticamente significativas entre CNIs documentadas.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OE2: Evaluar cómo la configuración segura de las Network Policies reduce la superficie de ataque.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 CUMPLIDO — 8 casos de prueba de seguridad documentados (Tabla 5.4), ejecutados en los 4 CNIs. Hallazgo crítico: Flannel no implementa Network Policies. Cilium es el único con soporte L7. Overhead de seguridad medido: 1.9-5.1% (Tabla 5.6).</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OE3: Desarrollar criterios y métricas para la comparación objetiva entre CNIs.</w:t>
            </w:r>
          </w:p>
        </w:tc>
        <w:tc>
          <w:tcPr>
            <w:tcW w:type="dxa" w:w="60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 CUMPLIDO — Algoritmo IQR validado con outlier controlado (Tabla 5.8). Normalización min-max verificada (Tabla 5.9). Scoring MCDA calculado para 3 perfiles (Tabla 5.10). Coherencia de recomendaciones validada contra literatura.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OE4: Implementar un prototipo funcional que recomiende el CNI más adecuado.</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 CUMPLIDO — 8 casos de prueba funcionales (Tabla 5.11), todos aprobados. Prueba de integridad de datos end-to-end completada. Actualización automática validada (&lt;5 min). Responsividad en móvil verificada.</w:t>
            </w:r>
          </w:p>
        </w:tc>
      </w:tr>
    </w:tbl>
    <w:p>
      <w:pPr>
        <w:spacing w:after="160" w:before="60"/>
        <w:jc w:val="center"/>
      </w:pPr>
      <w:r>
        <w:rPr>
          <w:rFonts w:ascii="Arial" w:cs="Arial" w:eastAsia="Arial" w:hAnsi="Arial"/>
          <w:i/>
          <w:iCs/>
          <w:color w:val="555555"/>
          <w:sz w:val="20"/>
          <w:szCs w:val="20"/>
        </w:rPr>
        <w:t xml:space="preserve">Tabla 5.13 — Cumplimiento de objetivos específicos del proyecto basado en evidencia de pruebas</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C55A11" w:val="clear"/>
            <w:tcMar>
              <w:top w:type="dxa" w:w="100"/>
              <w:left w:type="dxa" w:w="160"/>
              <w:bottom w:type="dxa" w:w="100"/>
              <w:right w:type="dxa" w:w="160"/>
            </w:tcMar>
          </w:tcPr>
          <w:p>
            <w:r>
              <w:rPr>
                <w:rFonts w:ascii="Arial" w:cs="Arial" w:eastAsia="Arial" w:hAnsi="Arial"/>
                <w:b/>
                <w:bCs/>
                <w:color w:val="FFFFFF"/>
                <w:sz w:val="22"/>
                <w:szCs w:val="22"/>
              </w:rPr>
              <w:t xml:space="preserve">Limitaciones de las pruebas y amenazas a la validez</w:t>
            </w:r>
          </w:p>
        </w:tc>
      </w:tr>
      <w:tr>
        <w:tc>
          <w:tcPr>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pPr>
              <w:jc w:val="both"/>
            </w:pPr>
            <w:r>
              <w:rPr>
                <w:rFonts w:ascii="Arial" w:cs="Arial" w:eastAsia="Arial" w:hAnsi="Arial"/>
                <w:sz w:val="21"/>
                <w:szCs w:val="21"/>
              </w:rPr>
              <w:t xml:space="preserve">Las pruebas se realizaron en un entorno de laboratorio con instancias de DigitalOcean de tamaño específico (2 vCPU / 4 GB RAM). Los resultados pueden variar en instancias de diferente tamaño o en otros proveedores cloud (AWS, GCP, Azure) debido a diferencias en la arquitectura de red subyacente.</w:t>
            </w:r>
          </w:p>
        </w:tc>
      </w:tr>
      <w:tr>
        <w:tc>
          <w:tcPr>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pPr>
              <w:jc w:val="both"/>
            </w:pPr>
            <w:r>
              <w:rPr>
                <w:rFonts w:ascii="Arial" w:cs="Arial" w:eastAsia="Arial" w:hAnsi="Arial"/>
                <w:sz w:val="21"/>
                <w:szCs w:val="21"/>
              </w:rPr>
              <w:t xml:space="preserve">Las pruebas de throughput utilizaron un único stream TCP. Aplicaciones reales generan múltiples streams concurrentes, lo que puede cambiar el comportamiento relativo de los CNIs, especialmente en Calico con BGP que puede beneficiarse del multipath routing.</w:t>
            </w:r>
          </w:p>
        </w:tc>
      </w:tr>
      <w:tr>
        <w:tc>
          <w:tcPr>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pPr>
              <w:jc w:val="both"/>
            </w:pPr>
            <w:r>
              <w:rPr>
                <w:rFonts w:ascii="Arial" w:cs="Arial" w:eastAsia="Arial" w:hAnsi="Arial"/>
                <w:sz w:val="21"/>
                <w:szCs w:val="21"/>
              </w:rPr>
              <w:t xml:space="preserve">El horario de pruebas (9am-5pm COT) reduce pero no elimina la variabilidad del entorno cloud. Eventos de mantenimiento del proveedor pueden ocurrir en cualquier momento. El filtro IQR mitiga este riesgo pero no lo elimina completamente.</w:t>
            </w:r>
          </w:p>
        </w:tc>
      </w:tr>
      <w:tr>
        <w:tc>
          <w:tcPr>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pPr>
              <w:jc w:val="both"/>
            </w:pPr>
            <w:r>
              <w:rPr>
                <w:rFonts w:ascii="Arial" w:cs="Arial" w:eastAsia="Arial" w:hAnsi="Arial"/>
                <w:sz w:val="21"/>
                <w:szCs w:val="21"/>
              </w:rPr>
              <w:t xml:space="preserve">La métrica de Network Policies L7 para Cilium se evaluó de manera funcional (soporta/no soporta) en lugar de cuantitativa. Una evaluación más completa mediría el impacto en latencia de las reglas L7 comparado con las reglas L3/L4 estándar.</w:t>
            </w:r>
          </w:p>
        </w:tc>
      </w:tr>
    </w:tbl>
    <w:p>
      <w:r>
        <w:br w:type="page"/>
      </w:r>
    </w:p>
    <w:p>
      <w:pPr>
        <w:pStyle w:val="Heading1"/>
        <w:pBdr>
          <w:bottom w:val="single" w:color="2E75B6" w:sz="6" w:space="6"/>
        </w:pBdr>
        <w:spacing w:after="200" w:before="360"/>
      </w:pPr>
      <w:r>
        <w:rPr>
          <w:rFonts w:ascii="Arial" w:cs="Arial" w:eastAsia="Arial" w:hAnsi="Arial"/>
          <w:b/>
          <w:bCs/>
          <w:color w:val="1F4E79"/>
          <w:sz w:val="32"/>
          <w:szCs w:val="32"/>
        </w:rPr>
        <w:t xml:space="preserve">6. Referencias Bibliográficas</w:t>
      </w:r>
    </w:p>
    <w:p>
      <w:pPr>
        <w:spacing w:after="140" w:before="80" w:line="360"/>
        <w:jc w:val="both"/>
      </w:pPr>
      <w:r>
        <w:rPr>
          <w:rFonts w:ascii="Arial" w:cs="Arial" w:eastAsia="Arial" w:hAnsi="Arial"/>
          <w:color w:val="000000"/>
          <w:sz w:val="22"/>
          <w:szCs w:val="22"/>
        </w:rPr>
        <w:t xml:space="preserve">Las siguientes fuentes académicas y técnicas fundamentaron el diseño de la metodología de pruebas y la interpretación de resultados, en formato IEEE:</w:t>
      </w:r>
    </w:p>
    <w:p>
      <w:pPr>
        <w:spacing w:after="120" w:before="120"/>
      </w:pPr>
      <w:r>
        <w:t xml:space="preserve"/>
      </w:r>
    </w:p>
    <w:p>
      <w:pPr>
        <w:spacing w:after="80" w:before="60" w:line="320"/>
        <w:ind w:left="720" w:hanging="360"/>
      </w:pPr>
      <w:r>
        <w:rPr>
          <w:rFonts w:ascii="Arial" w:cs="Arial" w:eastAsia="Arial" w:hAnsi="Arial"/>
          <w:b/>
          <w:bCs/>
          <w:color w:val="2E75B6"/>
          <w:sz w:val="20"/>
          <w:szCs w:val="20"/>
        </w:rPr>
        <w:t xml:space="preserve">[1] </w:t>
      </w:r>
      <w:r>
        <w:rPr>
          <w:rFonts w:ascii="Arial" w:cs="Arial" w:eastAsia="Arial" w:hAnsi="Arial"/>
          <w:color w:val="333333"/>
          <w:sz w:val="20"/>
          <w:szCs w:val="20"/>
        </w:rPr>
        <w:t xml:space="preserve">"Cluster networking," Kubernetes. [En línea]. Disponible en: https://kubernetes.io/docs/concepts/cluster-administration/networking/. [Consultado: 21-ago-2025].</w:t>
      </w:r>
    </w:p>
    <w:p>
      <w:pPr>
        <w:spacing w:after="80" w:before="60" w:line="320"/>
        <w:ind w:left="720" w:hanging="360"/>
      </w:pPr>
      <w:r>
        <w:rPr>
          <w:rFonts w:ascii="Arial" w:cs="Arial" w:eastAsia="Arial" w:hAnsi="Arial"/>
          <w:b/>
          <w:bCs/>
          <w:color w:val="2E75B6"/>
          <w:sz w:val="20"/>
          <w:szCs w:val="20"/>
        </w:rPr>
        <w:t xml:space="preserve">[2] </w:t>
      </w:r>
      <w:r>
        <w:rPr>
          <w:rFonts w:ascii="Arial" w:cs="Arial" w:eastAsia="Arial" w:hAnsi="Arial"/>
          <w:color w:val="333333"/>
          <w:sz w:val="20"/>
          <w:szCs w:val="20"/>
        </w:rPr>
        <w:t xml:space="preserve">"Network plugins," Kubernetes. [En línea]. Disponible en: https://kubernetes.io/docs/concepts/extend-kubernetes/compute-storage-net/network-plugins/. [Consultado: 21-ago-2025].</w:t>
      </w:r>
    </w:p>
    <w:p>
      <w:pPr>
        <w:spacing w:after="80" w:before="60" w:line="320"/>
        <w:ind w:left="720" w:hanging="360"/>
      </w:pPr>
      <w:r>
        <w:rPr>
          <w:rFonts w:ascii="Arial" w:cs="Arial" w:eastAsia="Arial" w:hAnsi="Arial"/>
          <w:b/>
          <w:bCs/>
          <w:color w:val="2E75B6"/>
          <w:sz w:val="20"/>
          <w:szCs w:val="20"/>
        </w:rPr>
        <w:t xml:space="preserve">[3] </w:t>
      </w:r>
      <w:r>
        <w:rPr>
          <w:rFonts w:ascii="Arial" w:cs="Arial" w:eastAsia="Arial" w:hAnsi="Arial"/>
          <w:color w:val="333333"/>
          <w:sz w:val="20"/>
          <w:szCs w:val="20"/>
        </w:rPr>
        <w:t xml:space="preserve">"EndpointSlices," Kubernetes. [En línea]. Disponible en: https://kubernetes.io/docs/concepts/services-networking/endpoint-slices/. [Consultado: 21-ago-2025].</w:t>
      </w:r>
    </w:p>
    <w:p>
      <w:pPr>
        <w:spacing w:after="80" w:before="60" w:line="320"/>
        <w:ind w:left="720" w:hanging="360"/>
      </w:pPr>
      <w:r>
        <w:rPr>
          <w:rFonts w:ascii="Arial" w:cs="Arial" w:eastAsia="Arial" w:hAnsi="Arial"/>
          <w:b/>
          <w:bCs/>
          <w:color w:val="2E75B6"/>
          <w:sz w:val="20"/>
          <w:szCs w:val="20"/>
        </w:rPr>
        <w:t xml:space="preserve">[4] </w:t>
      </w:r>
      <w:r>
        <w:rPr>
          <w:rFonts w:ascii="Arial" w:cs="Arial" w:eastAsia="Arial" w:hAnsi="Arial"/>
          <w:color w:val="333333"/>
          <w:sz w:val="20"/>
          <w:szCs w:val="20"/>
        </w:rPr>
        <w:t xml:space="preserve">D. E. Eisenbud et al., "Maglev: A fast and reliable software network load balancer," en Proc. USENIX NSDI, 2016.</w:t>
      </w:r>
    </w:p>
    <w:p>
      <w:pPr>
        <w:spacing w:after="80" w:before="60" w:line="320"/>
        <w:ind w:left="720" w:hanging="360"/>
      </w:pPr>
      <w:r>
        <w:rPr>
          <w:rFonts w:ascii="Arial" w:cs="Arial" w:eastAsia="Arial" w:hAnsi="Arial"/>
          <w:b/>
          <w:bCs/>
          <w:color w:val="2E75B6"/>
          <w:sz w:val="20"/>
          <w:szCs w:val="20"/>
        </w:rPr>
        <w:t xml:space="preserve">[5] </w:t>
      </w:r>
      <w:r>
        <w:rPr>
          <w:rFonts w:ascii="Arial" w:cs="Arial" w:eastAsia="Arial" w:hAnsi="Arial"/>
          <w:color w:val="333333"/>
          <w:sz w:val="20"/>
          <w:szCs w:val="20"/>
        </w:rPr>
        <w:t xml:space="preserve">F. Gomes, P. Rego y F. Trinta, "A systematic mapping study on observability of microservices-based applications: fundamentals, classifications, and challenges," Computing, vol. 107, núm. 9, 2025.</w:t>
      </w:r>
    </w:p>
    <w:p>
      <w:pPr>
        <w:spacing w:after="80" w:before="60" w:line="320"/>
        <w:ind w:left="720" w:hanging="360"/>
      </w:pPr>
      <w:r>
        <w:rPr>
          <w:rFonts w:ascii="Arial" w:cs="Arial" w:eastAsia="Arial" w:hAnsi="Arial"/>
          <w:b/>
          <w:bCs/>
          <w:color w:val="2E75B6"/>
          <w:sz w:val="20"/>
          <w:szCs w:val="20"/>
        </w:rPr>
        <w:t xml:space="preserve">[6] </w:t>
      </w:r>
      <w:r>
        <w:rPr>
          <w:rFonts w:ascii="Arial" w:cs="Arial" w:eastAsia="Arial" w:hAnsi="Arial"/>
          <w:color w:val="333333"/>
          <w:sz w:val="20"/>
          <w:szCs w:val="20"/>
        </w:rPr>
        <w:t xml:space="preserve">M. I. Cordero-Pérez y P. E. Salas-Duarte, "Inteligencia Artificial en la Gestión de Redes Telemáticas: Avances, Tendencias y Aplicaciones Actuales," Rev. Vínculos, vol. 21, no. 1, may. 2024.</w:t>
      </w:r>
    </w:p>
    <w:p>
      <w:pPr>
        <w:spacing w:after="80" w:before="60" w:line="320"/>
        <w:ind w:left="720" w:hanging="360"/>
      </w:pPr>
      <w:r>
        <w:rPr>
          <w:rFonts w:ascii="Arial" w:cs="Arial" w:eastAsia="Arial" w:hAnsi="Arial"/>
          <w:b/>
          <w:bCs/>
          <w:color w:val="2E75B6"/>
          <w:sz w:val="20"/>
          <w:szCs w:val="20"/>
        </w:rPr>
        <w:t xml:space="preserve">[7] </w:t>
      </w:r>
      <w:r>
        <w:rPr>
          <w:rFonts w:ascii="Arial" w:cs="Arial" w:eastAsia="Arial" w:hAnsi="Arial"/>
          <w:color w:val="333333"/>
          <w:sz w:val="20"/>
          <w:szCs w:val="20"/>
        </w:rPr>
        <w:t xml:space="preserve">Z. Kang, K. An, A. Gokhale y P. Pazandak, "A comprehensive performance evaluation of different Kubernetes CNI plugins for edge-based and containerized publish/subscribe applications," en Proc. IC2E, 2021.</w:t>
      </w:r>
    </w:p>
    <w:p>
      <w:pPr>
        <w:spacing w:after="80" w:before="60" w:line="320"/>
        <w:ind w:left="720" w:hanging="360"/>
      </w:pPr>
      <w:r>
        <w:rPr>
          <w:rFonts w:ascii="Arial" w:cs="Arial" w:eastAsia="Arial" w:hAnsi="Arial"/>
          <w:b/>
          <w:bCs/>
          <w:color w:val="2E75B6"/>
          <w:sz w:val="20"/>
          <w:szCs w:val="20"/>
        </w:rPr>
        <w:t xml:space="preserve">[8] </w:t>
      </w:r>
      <w:r>
        <w:rPr>
          <w:rFonts w:ascii="Arial" w:cs="Arial" w:eastAsia="Arial" w:hAnsi="Arial"/>
          <w:color w:val="333333"/>
          <w:sz w:val="20"/>
          <w:szCs w:val="20"/>
        </w:rPr>
        <w:t xml:space="preserve">G. Koukis, S. Skaperas, I. A. Kapetanidou, L. Mamatas y V. Tsaoussidis, "Performance evaluation of Kubernetes networking approaches across constraint edge environments," arXiv [cs.NI], 2024.</w:t>
      </w:r>
    </w:p>
    <w:p>
      <w:pPr>
        <w:spacing w:after="80" w:before="60" w:line="320"/>
        <w:ind w:left="720" w:hanging="360"/>
      </w:pPr>
      <w:r>
        <w:rPr>
          <w:rFonts w:ascii="Arial" w:cs="Arial" w:eastAsia="Arial" w:hAnsi="Arial"/>
          <w:b/>
          <w:bCs/>
          <w:color w:val="2E75B6"/>
          <w:sz w:val="20"/>
          <w:szCs w:val="20"/>
        </w:rPr>
        <w:t xml:space="preserve">[9] </w:t>
      </w:r>
      <w:r>
        <w:rPr>
          <w:rFonts w:ascii="Arial" w:cs="Arial" w:eastAsia="Arial" w:hAnsi="Arial"/>
          <w:color w:val="333333"/>
          <w:sz w:val="20"/>
          <w:szCs w:val="20"/>
        </w:rPr>
        <w:t xml:space="preserve">Mdpi.com. [En línea]. Disponible en: https://www.mdpi.com/2079-9292/13/19/3972. [Consultado: 21-ago-2025].</w:t>
      </w:r>
    </w:p>
    <w:p>
      <w:pPr>
        <w:spacing w:after="80" w:before="60" w:line="320"/>
        <w:ind w:left="720" w:hanging="360"/>
      </w:pPr>
      <w:r>
        <w:rPr>
          <w:rFonts w:ascii="Arial" w:cs="Arial" w:eastAsia="Arial" w:hAnsi="Arial"/>
          <w:b/>
          <w:bCs/>
          <w:color w:val="2E75B6"/>
          <w:sz w:val="20"/>
          <w:szCs w:val="20"/>
        </w:rPr>
        <w:t xml:space="preserve">[10] </w:t>
      </w:r>
      <w:r>
        <w:rPr>
          <w:rFonts w:ascii="Arial" w:cs="Arial" w:eastAsia="Arial" w:hAnsi="Arial"/>
          <w:color w:val="333333"/>
          <w:sz w:val="20"/>
          <w:szCs w:val="20"/>
        </w:rPr>
        <w:t xml:space="preserve">"Elevating Kubernetes network security through Cilium deployment," Fh-Joanneum, 2024. [En línea]. Disponible en: https://epub.fh-joanneum.at/obvfhjhs/download/pdf/11499653.</w:t>
      </w:r>
    </w:p>
    <w:p>
      <w:pPr>
        <w:spacing w:after="80" w:before="60" w:line="320"/>
        <w:ind w:left="720" w:hanging="360"/>
      </w:pPr>
      <w:r>
        <w:rPr>
          <w:rFonts w:ascii="Arial" w:cs="Arial" w:eastAsia="Arial" w:hAnsi="Arial"/>
          <w:b/>
          <w:bCs/>
          <w:color w:val="2E75B6"/>
          <w:sz w:val="20"/>
          <w:szCs w:val="20"/>
        </w:rPr>
        <w:t xml:space="preserve">[11] </w:t>
      </w:r>
      <w:r>
        <w:rPr>
          <w:rFonts w:ascii="Arial" w:cs="Arial" w:eastAsia="Arial" w:hAnsi="Arial"/>
          <w:color w:val="333333"/>
          <w:sz w:val="20"/>
          <w:szCs w:val="20"/>
        </w:rPr>
        <w:t xml:space="preserve">W. Tu, Y.-H. Wei, G. Antichi y B. Pfaff, "Revisiting the Open vSwitch dataplane ten years later," en Proc. ACM SIGCOMM, 2021.</w:t>
      </w:r>
    </w:p>
    <w:p>
      <w:pPr>
        <w:spacing w:after="80" w:before="60" w:line="320"/>
        <w:ind w:left="720" w:hanging="360"/>
      </w:pPr>
      <w:r>
        <w:rPr>
          <w:rFonts w:ascii="Arial" w:cs="Arial" w:eastAsia="Arial" w:hAnsi="Arial"/>
          <w:b/>
          <w:bCs/>
          <w:color w:val="2E75B6"/>
          <w:sz w:val="20"/>
          <w:szCs w:val="20"/>
        </w:rPr>
        <w:t xml:space="preserve">[12] </w:t>
      </w:r>
      <w:r>
        <w:rPr>
          <w:rFonts w:ascii="Arial" w:cs="Arial" w:eastAsia="Arial" w:hAnsi="Arial"/>
          <w:color w:val="333333"/>
          <w:sz w:val="20"/>
          <w:szCs w:val="20"/>
        </w:rPr>
        <w:t xml:space="preserve">"Configure MTU to maximize network performance," Tigera.io. [En línea]. Disponible en: https://docs.tigera.io/calico/latest/networking/configuring/mtu. [Consultado: 21-ago-2025].</w:t>
      </w:r>
    </w:p>
    <w:p>
      <w:pPr>
        <w:spacing w:after="80" w:before="60" w:line="320"/>
        <w:ind w:left="720" w:hanging="360"/>
      </w:pPr>
      <w:r>
        <w:rPr>
          <w:rFonts w:ascii="Arial" w:cs="Arial" w:eastAsia="Arial" w:hAnsi="Arial"/>
          <w:b/>
          <w:bCs/>
          <w:color w:val="2E75B6"/>
          <w:sz w:val="20"/>
          <w:szCs w:val="20"/>
        </w:rPr>
        <w:t xml:space="preserve">[13] </w:t>
      </w:r>
      <w:r>
        <w:rPr>
          <w:rFonts w:ascii="Arial" w:cs="Arial" w:eastAsia="Arial" w:hAnsi="Arial"/>
          <w:color w:val="333333"/>
          <w:sz w:val="20"/>
          <w:szCs w:val="20"/>
        </w:rPr>
        <w:t xml:space="preserve">"Service," Kubernetes. [En línea]. Disponible en: https://kubernetes.io/docs/concepts/services-networking/service/. [Consultado: 21-ago-2025].</w:t>
      </w:r>
    </w:p>
    <w:p>
      <w:pPr>
        <w:spacing w:after="80" w:before="60" w:line="320"/>
        <w:ind w:left="720" w:hanging="360"/>
      </w:pPr>
      <w:r>
        <w:rPr>
          <w:rFonts w:ascii="Arial" w:cs="Arial" w:eastAsia="Arial" w:hAnsi="Arial"/>
          <w:b/>
          <w:bCs/>
          <w:color w:val="2E75B6"/>
          <w:sz w:val="20"/>
          <w:szCs w:val="20"/>
        </w:rPr>
        <w:t xml:space="preserve">[14] </w:t>
      </w:r>
      <w:r>
        <w:rPr>
          <w:rFonts w:ascii="Arial" w:cs="Arial" w:eastAsia="Arial" w:hAnsi="Arial"/>
          <w:color w:val="333333"/>
          <w:sz w:val="20"/>
          <w:szCs w:val="20"/>
        </w:rPr>
        <w:t xml:space="preserve">M. Kotenko, D. Moskalyk, V. Kovach y V. Osadchyi, "Navigating the challenges and best practices in securing microservices architecture," Ceur-ws.org, 2024.</w:t>
      </w:r>
    </w:p>
    <w:p>
      <w:pPr>
        <w:spacing w:after="80" w:before="60" w:line="320"/>
        <w:ind w:left="720" w:hanging="360"/>
      </w:pPr>
      <w:r>
        <w:rPr>
          <w:rFonts w:ascii="Arial" w:cs="Arial" w:eastAsia="Arial" w:hAnsi="Arial"/>
          <w:b/>
          <w:bCs/>
          <w:color w:val="2E75B6"/>
          <w:sz w:val="20"/>
          <w:szCs w:val="20"/>
        </w:rPr>
        <w:t xml:space="preserve">[15] </w:t>
      </w:r>
      <w:r>
        <w:rPr>
          <w:rFonts w:ascii="Arial" w:cs="Arial" w:eastAsia="Arial" w:hAnsi="Arial"/>
          <w:color w:val="333333"/>
          <w:sz w:val="20"/>
          <w:szCs w:val="20"/>
        </w:rPr>
        <w:t xml:space="preserve">"CNI Specification," Cni.dev. [En línea]. Disponible en: https://www.cni.dev/docs/spec/. [Consultado: 21-ago-2025].</w:t>
      </w:r>
    </w:p>
    <w:p>
      <w:pPr>
        <w:spacing w:after="80" w:before="60" w:line="320"/>
        <w:ind w:left="720" w:hanging="360"/>
      </w:pPr>
      <w:r>
        <w:rPr>
          <w:rFonts w:ascii="Arial" w:cs="Arial" w:eastAsia="Arial" w:hAnsi="Arial"/>
          <w:b/>
          <w:bCs/>
          <w:color w:val="2E75B6"/>
          <w:sz w:val="20"/>
          <w:szCs w:val="20"/>
        </w:rPr>
        <w:t xml:space="preserve">[16] </w:t>
      </w:r>
      <w:r>
        <w:rPr>
          <w:rFonts w:ascii="Arial" w:cs="Arial" w:eastAsia="Arial" w:hAnsi="Arial"/>
          <w:color w:val="333333"/>
          <w:sz w:val="20"/>
          <w:szCs w:val="20"/>
        </w:rPr>
        <w:t xml:space="preserve">S. Rose, O. Borchert, S. Mitchell y S. Connelly, "Zero Trust Architecture," NIST SP 800-207, 2020.</w:t>
      </w:r>
    </w:p>
    <w:p>
      <w:pPr>
        <w:spacing w:after="80" w:before="60" w:line="320"/>
        <w:ind w:left="720" w:hanging="360"/>
      </w:pPr>
      <w:r>
        <w:rPr>
          <w:rFonts w:ascii="Arial" w:cs="Arial" w:eastAsia="Arial" w:hAnsi="Arial"/>
          <w:b/>
          <w:bCs/>
          <w:color w:val="2E75B6"/>
          <w:sz w:val="20"/>
          <w:szCs w:val="20"/>
        </w:rPr>
        <w:t xml:space="preserve">[17] </w:t>
      </w:r>
      <w:r>
        <w:rPr>
          <w:rFonts w:ascii="Arial" w:cs="Arial" w:eastAsia="Arial" w:hAnsi="Arial"/>
          <w:color w:val="333333"/>
          <w:sz w:val="20"/>
          <w:szCs w:val="20"/>
        </w:rPr>
        <w:t xml:space="preserve">O. Borchert, G. Howell, A. Kerman, S. Rose y M. Souppaya, "Implementing a Zero Trust Architecture," NIST, Gaithersburg, MD, 2025.</w:t>
      </w:r>
    </w:p>
    <w:p>
      <w:pPr>
        <w:spacing w:after="80" w:before="60" w:line="320"/>
        <w:ind w:left="720" w:hanging="360"/>
      </w:pPr>
      <w:r>
        <w:rPr>
          <w:rFonts w:ascii="Arial" w:cs="Arial" w:eastAsia="Arial" w:hAnsi="Arial"/>
          <w:b/>
          <w:bCs/>
          <w:color w:val="2E75B6"/>
          <w:sz w:val="20"/>
          <w:szCs w:val="20"/>
        </w:rPr>
        <w:t xml:space="preserve">[18] </w:t>
      </w:r>
      <w:r>
        <w:rPr>
          <w:rFonts w:ascii="Arial" w:cs="Arial" w:eastAsia="Arial" w:hAnsi="Arial"/>
          <w:color w:val="333333"/>
          <w:sz w:val="20"/>
          <w:szCs w:val="20"/>
        </w:rPr>
        <w:t xml:space="preserve">R. Chandramouli y Z. Butcher, "Building secure microservices-based applications using service-mesh architecture," NIST, Gaithersburg, MD, 2020.</w:t>
      </w:r>
    </w:p>
    <w:p>
      <w:pPr>
        <w:spacing w:after="80" w:before="60" w:line="320"/>
        <w:ind w:left="720" w:hanging="360"/>
      </w:pPr>
      <w:r>
        <w:rPr>
          <w:rFonts w:ascii="Arial" w:cs="Arial" w:eastAsia="Arial" w:hAnsi="Arial"/>
          <w:b/>
          <w:bCs/>
          <w:color w:val="2E75B6"/>
          <w:sz w:val="20"/>
          <w:szCs w:val="20"/>
        </w:rPr>
        <w:t xml:space="preserve">[19] </w:t>
      </w:r>
      <w:r>
        <w:rPr>
          <w:rFonts w:ascii="Arial" w:cs="Arial" w:eastAsia="Arial" w:hAnsi="Arial"/>
          <w:color w:val="333333"/>
          <w:sz w:val="20"/>
          <w:szCs w:val="20"/>
        </w:rPr>
        <w:t xml:space="preserve">J. Zhang, P. Chen, Z. He, H. Chen y X. Li, "Real-time intrusion detection and prevention with neural network in kernel using eBPF," en Proc. IEEE/IFIP DSN, 2024, pp. 416-428.</w:t>
      </w:r>
    </w:p>
    <w:p>
      <w:pPr>
        <w:spacing w:after="80" w:before="60" w:line="320"/>
        <w:ind w:left="720" w:hanging="360"/>
      </w:pPr>
      <w:r>
        <w:rPr>
          <w:rFonts w:ascii="Arial" w:cs="Arial" w:eastAsia="Arial" w:hAnsi="Arial"/>
          <w:b/>
          <w:bCs/>
          <w:color w:val="2E75B6"/>
          <w:sz w:val="20"/>
          <w:szCs w:val="20"/>
        </w:rPr>
        <w:t xml:space="preserve">[20] </w:t>
      </w:r>
      <w:r>
        <w:rPr>
          <w:rFonts w:ascii="Arial" w:cs="Arial" w:eastAsia="Arial" w:hAnsi="Arial"/>
          <w:color w:val="333333"/>
          <w:sz w:val="20"/>
          <w:szCs w:val="20"/>
        </w:rPr>
        <w:t xml:space="preserve">"Antrea network flow visibility," Antrea.io. [En línea]. Disponible en: https://antrea.io/docs/v1.0.0/docs/network-flow-visibility/. [Consultado: 21-ago-2025].</w:t>
      </w:r>
    </w:p>
    <w:p>
      <w:pPr>
        <w:spacing w:after="80" w:before="60" w:line="320"/>
        <w:ind w:left="720" w:hanging="360"/>
      </w:pPr>
      <w:r>
        <w:rPr>
          <w:rFonts w:ascii="Arial" w:cs="Arial" w:eastAsia="Arial" w:hAnsi="Arial"/>
          <w:b/>
          <w:bCs/>
          <w:color w:val="2E75B6"/>
          <w:sz w:val="20"/>
          <w:szCs w:val="20"/>
        </w:rPr>
        <w:t xml:space="preserve">[21] </w:t>
      </w:r>
      <w:r>
        <w:rPr>
          <w:rFonts w:ascii="Arial" w:cs="Arial" w:eastAsia="Arial" w:hAnsi="Arial"/>
          <w:color w:val="333333"/>
          <w:sz w:val="20"/>
          <w:szCs w:val="20"/>
        </w:rPr>
        <w:t xml:space="preserve">B. Pfaff et al., "The design and implementation of Open vSwitch," en Proc. USENIX NSDI, 2015.</w:t>
      </w:r>
    </w:p>
    <w:p>
      <w:pPr>
        <w:spacing w:after="80" w:before="60" w:line="320"/>
        <w:ind w:left="720" w:hanging="360"/>
      </w:pPr>
      <w:r>
        <w:rPr>
          <w:rFonts w:ascii="Arial" w:cs="Arial" w:eastAsia="Arial" w:hAnsi="Arial"/>
          <w:b/>
          <w:bCs/>
          <w:color w:val="2E75B6"/>
          <w:sz w:val="20"/>
          <w:szCs w:val="20"/>
        </w:rPr>
        <w:t xml:space="preserve">[22] </w:t>
      </w:r>
      <w:r>
        <w:rPr>
          <w:rFonts w:ascii="Arial" w:cs="Arial" w:eastAsia="Arial" w:hAnsi="Arial"/>
          <w:color w:val="333333"/>
          <w:sz w:val="20"/>
          <w:szCs w:val="20"/>
        </w:rPr>
        <w:t xml:space="preserve">J. Castellanos y C. G. Castrillón Arias, "Diseño de una ruta metodológica para la toma de decisiones en la adquisición de software," Tecnura, vol. 27, no. 75, pp. 38-50, ene. 2023.</w:t>
      </w:r>
    </w:p>
    <w:p>
      <w:pPr>
        <w:spacing w:after="80" w:before="60" w:line="320"/>
        <w:ind w:left="720" w:hanging="360"/>
      </w:pPr>
      <w:r>
        <w:rPr>
          <w:rFonts w:ascii="Arial" w:cs="Arial" w:eastAsia="Arial" w:hAnsi="Arial"/>
          <w:b/>
          <w:bCs/>
          <w:color w:val="2E75B6"/>
          <w:sz w:val="20"/>
          <w:szCs w:val="20"/>
        </w:rPr>
        <w:t xml:space="preserve">[23] </w:t>
      </w:r>
      <w:r>
        <w:rPr>
          <w:rFonts w:ascii="Arial" w:cs="Arial" w:eastAsia="Arial" w:hAnsi="Arial"/>
          <w:color w:val="333333"/>
          <w:sz w:val="20"/>
          <w:szCs w:val="20"/>
        </w:rPr>
        <w:t xml:space="preserve">D. F. Solano y M. P. Gutiérrez, "Algoritmos de aprendizaje automático para optimizar las redes 5G: Desarrollo y evaluación del rendimiento," Rev. Vínculos, vol. 20, no. 1, abr. 2023.</w:t>
      </w:r>
    </w:p>
    <w:p>
      <w:pPr>
        <w:spacing w:after="80" w:before="60" w:line="320"/>
        <w:ind w:left="720" w:hanging="360"/>
      </w:pPr>
      <w:r>
        <w:rPr>
          <w:rFonts w:ascii="Arial" w:cs="Arial" w:eastAsia="Arial" w:hAnsi="Arial"/>
          <w:b/>
          <w:bCs/>
          <w:color w:val="2E75B6"/>
          <w:sz w:val="20"/>
          <w:szCs w:val="20"/>
        </w:rPr>
        <w:t xml:space="preserve">[24] </w:t>
      </w:r>
      <w:r>
        <w:rPr>
          <w:rFonts w:ascii="Arial" w:cs="Arial" w:eastAsia="Arial" w:hAnsi="Arial"/>
          <w:color w:val="333333"/>
          <w:sz w:val="20"/>
          <w:szCs w:val="20"/>
        </w:rPr>
        <w:t xml:space="preserve">"Virtual IPs and Service proxies," Kubernetes. [En línea]. Disponible en: https://kubernetes.io/docs/reference/networking/virtual-ips/. [Consultado: 21-ago-2025].</w:t>
      </w:r>
    </w:p>
    <w:p>
      <w:pPr>
        <w:spacing w:after="80" w:before="60" w:line="320"/>
        <w:ind w:left="720" w:hanging="360"/>
      </w:pPr>
      <w:r>
        <w:rPr>
          <w:rFonts w:ascii="Arial" w:cs="Arial" w:eastAsia="Arial" w:hAnsi="Arial"/>
          <w:b/>
          <w:bCs/>
          <w:color w:val="2E75B6"/>
          <w:sz w:val="20"/>
          <w:szCs w:val="20"/>
        </w:rPr>
        <w:t xml:space="preserve">[25] </w:t>
      </w:r>
      <w:r>
        <w:rPr>
          <w:rFonts w:ascii="Arial" w:cs="Arial" w:eastAsia="Arial" w:hAnsi="Arial"/>
          <w:color w:val="333333"/>
          <w:sz w:val="20"/>
          <w:szCs w:val="20"/>
        </w:rPr>
        <w:t xml:space="preserve">"Roles and personas - Kubernetes Gateway API," K8s.io. [En línea]. Disponible en: https://gateway-api.sigs.k8s.io/concepts/roles-and-personas/. [Consultado: 21-ago-2025].</w:t>
      </w:r>
    </w:p>
    <w:p>
      <w:pPr>
        <w:spacing w:after="120" w:before="120"/>
      </w:pPr>
      <w:r>
        <w:t xml:space="preserve"/>
      </w:r>
    </w:p>
    <w:p>
      <w:pPr>
        <w:pBdr>
          <w:top w:val="single" w:color="2E75B6" w:sz="4" w:space="8"/>
        </w:pBdr>
        <w:spacing w:after="0" w:before="400"/>
        <w:jc w:val="center"/>
      </w:pPr>
      <w:r>
        <w:rPr>
          <w:rFonts w:ascii="Arial" w:cs="Arial" w:eastAsia="Arial" w:hAnsi="Arial"/>
          <w:i/>
          <w:iCs/>
          <w:color w:val="888888"/>
          <w:sz w:val="20"/>
          <w:szCs w:val="20"/>
        </w:rPr>
        <w:t xml:space="preserve">— Fin del Capítulo de Pruebas y Validación —</w:t>
      </w:r>
    </w:p>
    <w:sectPr>
      <w:footerReference w:type="default" r:id="rId7"/>
      <w:pgSz w:w="11906" w:h="16838" w:orient="portrait"/>
      <w:pgMar w:top="1440" w:right="1440"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666666"/>
        <w:sz w:val="18"/>
        <w:szCs w:val="18"/>
      </w:rPr>
      <w:t xml:space="preserve">Universidad Distrital Francisco José de Caldas  |  Ingeniería en Telemática  |  Página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2026-05-03T02:30:30.066Z</dcterms:created>
  <dcterms:modified xsi:type="dcterms:W3CDTF">2026-05-03T02:30:30.066Z</dcterms:modified>
</cp:coreProperties>
</file>

<file path=docProps/custom.xml><?xml version="1.0" encoding="utf-8"?>
<Properties xmlns="http://schemas.openxmlformats.org/officeDocument/2006/custom-properties" xmlns:vt="http://schemas.openxmlformats.org/officeDocument/2006/docPropsVTypes"/>
</file>