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Đạm thủy phân gan cá (chiết từ 3,6g gan cá tươi chứa vit. B12 tương ứng với 2,4mcg): 0,6g</w:t>
        <w:br/>
        <w:t>Pepton: 1g</w:t>
        <w:br/>
        <w:t>Oxyhemoglobin: 0,125g</w:t>
        <w:br/>
        <w:t>Sắt và amoni citrat IP: 0,2g</w:t>
        <w:br/>
        <w:t>Acid nicotinic IP: 22,5g</w:t>
        <w:br/>
        <w:t>Cồn IP: 0,36ml</w:t>
        <w:br/>
        <w:t>Hương thơm vd</w:t>
        <w:br/>
        <w:br/>
        <w:t>Chỉ định: Thiếu máu thiếu sắt, suy dinh dưỡng, tăng tạo máu trong các trường hợp: phụ nữ có thai, sau khi sinh, đa kinh hoặc rong kinh, bệnh nhân sau mổ, mới ốm dậy, lão suy.</w:t>
        <w:br/>
        <w:t>Liều dùng: Người lớn: uống 1 thìa canh sau bữa ăn chính. Trẻ em dưới 12 tháng: 1 thìa cà phê sau bữa ăn chính.</w:t>
      </w:r>
    </w:p>
    <w:p>
      <w:pPr>
        <w:pStyle w:val="Heading1"/>
      </w:pPr>
      <w:r>
        <w:t>Hepatoxane (Pháp)</w:t>
      </w:r>
    </w:p>
    <w:p>
      <w:r>
        <w:t>Dạng thuốc: Mỗi viên có:</w:t>
        <w:br/>
        <w:t>Tocamphyl (hoạt chất lợi mật của Curcuma xanthorrhiza): 0,10g</w:t>
        <w:br/>
        <w:t>Tác dụng: Lợi mật.</w:t>
        <w:br/>
        <w:t>Chỉ định: Rối loạn tiêu hóa, khó tiêu, trướng bụng, ợ, đầy hơi, buồn nôn.</w:t>
        <w:br/>
        <w:t>Liều dùng: Uống 2 viên 1 lần, vào 3 bữa ăn.</w:t>
        <w:br/>
        <w:t>Lưu ý: Không dùng nếu tắc đường mật, suy gan nặng.</w:t>
      </w:r>
    </w:p>
    <w:p>
      <w:pPr>
        <w:pStyle w:val="Heading1"/>
      </w:pPr>
      <w:r>
        <w:t>Hephytol (XNDP 25)</w:t>
      </w:r>
    </w:p>
    <w:p>
      <w:r>
        <w:t>Dạng thuốc: Viên 200mg cao tinh chế từ lá Actisô.</w:t>
        <w:br/>
        <w:t>Chỉ định: Bảo vệ gan và thông mật, lợi tiểu, trị các rối loạn tiêu hóa.</w:t>
        <w:br/>
        <w:t>Liều dùng: Người lớn: 6-12 viên/ngày.</w:t>
        <w:br/>
        <w:t>Trẻ em: 3-6 viên/ngày, tùy theo tuổi. Uống trước bữa ăn. Đợt dùng 10-12 ngày/tháng.</w:t>
      </w:r>
    </w:p>
    <w:p>
      <w:pPr>
        <w:pStyle w:val="Heading1"/>
      </w:pPr>
      <w:r>
        <w:t>Heptan (Pháp)</w:t>
      </w:r>
    </w:p>
    <w:p>
      <w:r>
        <w:t>Dạng thuốc: Lọ thủy tinh 40ml dung dịch có:</w:t>
        <w:br/>
        <w:t>Sắt gluconat dihydrat: 8,64mg</w:t>
        <w:br/>
        <w:t>Đồng gluconat: 3,40mg</w:t>
        <w:br/>
        <w:t>Mangan gluconat dihydrat: 8,76mg</w:t>
        <w:br/>
        <w:t>Kẽm gluconat: 20,00mg</w:t>
        <w:br/>
        <w:t>Coban gluconat: 0,0112mg</w:t>
        <w:br/>
        <w:t>Natri fluorid: 3,20mg</w:t>
        <w:br/>
        <w:t>Natri iodid: 0,0018mg</w:t>
        <w:br/>
        <w:t>Nước cất tiêm vừa đủ.</w:t>
        <w:br/>
        <w:t>Tác dụng: Dung dịch tiêm chứa các yếu tố vi lượng khoáng.</w:t>
        <w:br/>
        <w:t>Chỉ định: Các trường hợp thiếu hụt các yếu tố vi lượng khoáng, nhất là khi dinh dưỡng qua đường tiêm.</w:t>
        <w:br/>
        <w:t>Liều dùng: Tiêm truyền tĩnh mạch 1 lọ/ngày trộn vào các dung dịch dinh dưỡng khác hoặc dung dịch glucose.</w:t>
        <w:br/>
        <w:t>Chống chỉ định: Ngộ độc do đồng. Trẻ em.</w:t>
      </w:r>
    </w:p>
    <w:p>
      <w:pPr>
        <w:pStyle w:val="Heading1"/>
      </w:pPr>
      <w:r>
        <w:t>Histaglobine (Pháp)</w:t>
      </w:r>
    </w:p>
    <w:p>
      <w:r>
        <w:t>Dạng thuốc: Lọ thuốc bột đông khô chứa 12mg gamma globulin người (nguồn gốc rau thai); 0,15mcg histamin dihydrochlorid và 32mg natri thiosulfat - kèm 1 ống 2ml nước cất.</w:t>
        <w:br/>
        <w:t>Tác dụng: Điều trị cơ bản người có cơ địa dị ứng.</w:t>
        <w:br/>
        <w:t>Chỉ định: Dị ứng không kể nguyên nhân và dạng biểu hiện. Đường hô hấp: hen, ho co thắt, sổ mũi, viêm mũi vận mạch. Ngoài da: mày đay, eczema, phù Quincke, mẩn ngứa. Thần kinh: nhức đầu, đau nửa đầu. Đường tiêu hóa: do thức ăn lạ. Mắt. Hội chứng tiền kinh.</w:t>
        <w:br/>
        <w:t>Liều dùng: Người lớn: 3 lần tiêm dưới da hoặc bắp, mỗi lần 2ml, cách nhau 7 ngày. Trẻ em và sơ sinh: 3 lần tiêm dưới da hoặc bắp; lần đầu 1ml, 2 lần sau mỗi lần 2ml, cách nhau 7 ngày. Nên dùng thêm 1 đợt sau đợt đầu 1 tháng và 3 tháng sau cứ mỗi tháng 1 lần tiêm.</w:t>
        <w:br/>
        <w:t>Chống chỉ định: Hen nặng.</w:t>
        <w:br/>
        <w:t>Lưu ý: Nếu có bội nhiễm, trước hết cần điều trị chống nhiễm khuẩn rồi mới dùng thuốc.</w:t>
      </w:r>
    </w:p>
    <w:p>
      <w:pPr>
        <w:pStyle w:val="Heading1"/>
      </w:pPr>
      <w:r>
        <w:t>Hitrechol (Đức)</w:t>
      </w:r>
    </w:p>
    <w:p>
      <w:r>
        <w:t>Dạng thuốc: Viên nang có:</w:t>
        <w:br/>
        <w:t>Cao Herba Hederae: 100mg</w:t>
        <w:br/>
        <w:t>Tác dụng: Làm tan sỏi mật cholesterol trong các giai đoạn đầu, kể cả với sỏi đã calci hóa và sỏi cholesterol các loại.</w:t>
        <w:br/>
        <w:t>Chỉ định: Sỏi mật, bùn mật.</w:t>
        <w:br/>
        <w:t>Liều dùng: Uống (nuốt) 1 viên/lần 3 lần/ngày, sau bữa ăn;</w:t>
        <w:br/>
        <w:t>Nếu cần có thể uống 2 viên/lần x 3 lần/ngày.</w:t>
        <w:br/>
        <w:t>Chống chỉ định: Chưa nhận thấy.</w:t>
        <w:br/>
        <w:t>Lưu ý: Khuyến cáo không nên dùng cho người mang thai.</w:t>
      </w:r>
    </w:p>
    <w:p>
      <w:pPr>
        <w:pStyle w:val="Heading1"/>
      </w:pPr>
      <w:r>
        <w:t>Hoắc hương chính khí (Kiện tỳ chỉ tả tán)</w:t>
      </w:r>
    </w:p>
    <w:p>
      <w:r>
        <w:t>Dạng thuốc: Thuốc bột:</w:t>
      </w:r>
    </w:p>
    <w:p>
      <w:pPr>
        <w:jc w:val="center"/>
      </w:pPr>
      <w:r>
        <w:t>473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