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Liều dùng : Uống 5-10viên/lần x 1-2 lần/ngày. (cho người lớn)</w:t>
      </w:r>
    </w:p>
    <w:p>
      <w:r>
        <w:t>Lưu ý : Thiềm tô là vị thuốc có độc, có thể gây chết người, dùng liều rất nhỏ, cần có thầy thuốc chỉ định.</w:t>
      </w:r>
    </w:p>
    <w:p>
      <w:r>
        <w:t>Khi chế biến phải làm đúng phương pháp hướng dẫn. (Không được để bắn hoặc rây vào mắt)</w:t>
      </w:r>
    </w:p>
    <w:p>
      <w:pPr>
        <w:pStyle w:val="Heading1"/>
      </w:pPr>
      <w:r>
        <w:t>Lục vị địa hoàng hoàn</w:t>
      </w:r>
    </w:p>
    <w:p>
      <w:r>
        <w:t>Dạng thuốc : Viên hoàn có :</w:t>
      </w:r>
    </w:p>
    <w:p>
      <w:r>
        <w:t>Thục địa 320g</w:t>
      </w:r>
    </w:p>
    <w:p>
      <w:r>
        <w:t>Sơn thù du 160g</w:t>
      </w:r>
    </w:p>
    <w:p>
      <w:r>
        <w:t>Hoài sơn 160g</w:t>
      </w:r>
    </w:p>
    <w:p>
      <w:r>
        <w:t>Mẫu đơn bì 120g</w:t>
      </w:r>
    </w:p>
    <w:p>
      <w:r>
        <w:t>Bạch phục linh 120g</w:t>
      </w:r>
    </w:p>
    <w:p>
      <w:r>
        <w:t>Trạch tả 120g</w:t>
      </w:r>
    </w:p>
    <w:p>
      <w:r>
        <w:t>Các vị tán nhỏ (trừ thục địa, sơn thù nghiền nhuyễn riêng trộn vào sau) thêm mật ong làm thành hoàn 0,5g.</w:t>
      </w:r>
    </w:p>
    <w:p>
      <w:r>
        <w:t>Chỉ định : Đau đầu, chóng mặt, lở loét miệng lưỡi, khô đau cổ họng, ù tai, đau lưng mỏi gối, di tinh mộng tinh, mồ hôi trộm, kinh nguyệt không đều, trẻ con gầy yếu.</w:t>
      </w:r>
    </w:p>
    <w:p>
      <w:r>
        <w:t>Liều dùng : Ngày uống 20-30viên (10-15g), chia làm 2 lần uống trước khi ăn.</w:t>
      </w:r>
    </w:p>
    <w:p>
      <w:pPr>
        <w:pStyle w:val="Heading1"/>
      </w:pPr>
      <w:r>
        <w:t>Lumbricus rubellus</w:t>
        <w:br/>
        <w:t>(Codupha)</w:t>
      </w:r>
    </w:p>
    <w:p>
      <w:r>
        <w:t>Biệt dược : Myung Shim</w:t>
      </w:r>
    </w:p>
    <w:p>
      <w:r>
        <w:t>Dạng thuốc : Viên nang 150mg bột đông khô Lumbricus rubellus.</w:t>
      </w:r>
    </w:p>
    <w:p>
      <w:r>
        <w:t>Tác dụng : Men phân giải fibrin là Lumbrokinase, làm tan huyết khối. -Được bào chế đặc biệt từ giun đất.</w:t>
      </w:r>
    </w:p>
    <w:p>
      <w:r>
        <w:t>Dung nạp tốt, có thể kết hợp với các tác nhân làm tan huyết khối khác.</w:t>
      </w:r>
    </w:p>
    <w:p>
      <w:r>
        <w:t>Chỉ định : Ngăn ngừa và trị các huyết khối ở người già, như xơ cứng động mạch, tăng huyết áp, huyết áp thấp, và các chứng huyết khối.</w:t>
      </w:r>
    </w:p>
    <w:p>
      <w:r>
        <w:t>Liều dùng : Người lớn uống 1 viên nang/lần x 3 lần/ngày.</w:t>
      </w:r>
    </w:p>
    <w:p>
      <w:pPr>
        <w:pStyle w:val="Heading1"/>
      </w:pPr>
      <w:r>
        <w:t>Lưu huỳnh</w:t>
      </w:r>
    </w:p>
    <w:p>
      <w:r>
        <w:t>Soufre</w:t>
      </w:r>
    </w:p>
    <w:p>
      <w:r>
        <w:t>Biệt dược : Soufre Oligosol (Pháp)</w:t>
      </w:r>
    </w:p>
    <w:p>
      <w:r>
        <w:t>Dạng thuốc : Ống tiêm 2ml chứa 0,3mg natri thiosulfat, 100mg glucose và nước cất vừa đủ.</w:t>
      </w:r>
    </w:p>
    <w:p>
      <w:r>
        <w:t>Tác dụng : Yếu tố vô cơ vi lượng có vai trò cấu trúc ở các protein ngoại bào, tham gia cấu tạo các mucopolysaccharid và glycoaminoglycan ở lớp da, sụn và mô liên kết.</w:t>
      </w:r>
    </w:p>
    <w:p>
      <w:r>
        <w:t>Chỉ định : Để thay thế cơ địa một số bệnh nhân mắc bệnh dễ tái phát ở ngoài da, thấp khớp và tai mũi họng.</w:t>
      </w:r>
    </w:p>
    <w:p>
      <w:r>
        <w:t>Liều dùng : Tiêm bắp hoặc qua đường dưới lưỡi (nên dùng đường này vào lúc sáng sớm lúc đói hoặc xa bữa ăn), ngậm dung dịch thuốc từ 1-2 phút dưới lưỡi trước khi nuốt, người lớn và trẻ em ngày 1-2ống.</w:t>
      </w:r>
    </w:p>
    <w:p>
      <w:r>
        <w:t>Lưu ý : Còn dùng ngoài da : trị ghẻ, mụn trứng cá.</w:t>
      </w:r>
    </w:p>
    <w:p>
      <w:pPr>
        <w:pStyle w:val="Heading1"/>
      </w:pPr>
      <w:r>
        <w:t>Lyantil (Pháp)</w:t>
      </w:r>
    </w:p>
    <w:p>
      <w:r>
        <w:t>Dạng thuốc : Lọ 90ml hỗn dịch gồm có :</w:t>
      </w:r>
    </w:p>
    <w:p>
      <w:r>
        <w:t>Framycetin sulfat 0,45g</w:t>
      </w:r>
    </w:p>
    <w:p>
      <w:r>
        <w:t>Phtalyl-sulfathiazol 4,50g</w:t>
      </w:r>
    </w:p>
    <w:p>
      <w:r>
        <w:t>Đất sét hấp thụ 9g</w:t>
      </w:r>
    </w:p>
    <w:p>
      <w:r>
        <w:t>Pectin 0,45g</w:t>
      </w:r>
    </w:p>
    <w:p>
      <w:r>
        <w:t>Tác dụng : Trị ỉa chảy, sát khuẩn.</w:t>
      </w:r>
    </w:p>
    <w:p>
      <w:r>
        <w:t>Chỉ định : ỉa chảy cấp tính do vi khuẩn.</w:t>
      </w:r>
    </w:p>
    <w:p>
      <w:r>
        <w:t>Liều dùng : (Pha nước đun sôi để nguội vào thuốc cốm, lắc mạch). Tùy theo bệnh, trạng : 1-2 thìa càfê /5kg/ngày, chia 2-3lần (1 thìa càfê chứa : 25mg framycetin, 250mg phtalyl-sulfathiazol).</w:t>
      </w:r>
    </w:p>
    <w:p>
      <w:r>
        <w:t>Chống chỉ định : dị ứng với Sulfamid, thiếu G6PD. Trẻ đẻ non- trẻ sơ sinh.</w:t>
      </w:r>
    </w:p>
    <w:p>
      <w:r>
        <w:t>Lưu ý : Tránh dùng lâu dài (giới hạn 4 ngày). Không dùng nếu suy thận nặng. Cần uống thêm nhiều nước.</w:t>
      </w:r>
    </w:p>
    <w:p>
      <w:pPr>
        <w:pStyle w:val="Heading1"/>
      </w:pPr>
      <w:r>
        <w:t>Lycolactyl (Lyka- Ấn Độ)</w:t>
      </w:r>
    </w:p>
    <w:p>
      <w:r>
        <w:t>Dạng thuốc : Gói bột khô chứa 100 triệu chủng Lactobacillus Sporogenes</w:t>
      </w:r>
    </w:p>
    <w:p>
      <w:r>
        <w:t>Chỉ định : Các chứng ỉa chảy do loạn khuẩn ruột.</w:t>
      </w:r>
    </w:p>
    <w:p>
      <w:r>
        <w:t>Liều dùng : Uống 1-2 gói/lần x 2 lần/ngày.</w:t>
      </w:r>
    </w:p>
    <w:p>
      <w:pPr>
        <w:pStyle w:val="Heading1"/>
      </w:pPr>
      <w:r>
        <w:t>Lyo-Bifidus (Pháp)</w:t>
      </w:r>
    </w:p>
    <w:p>
      <w:r>
        <w:t>Dạng thuốc : Gói thuốc bột chứa ít nhất 1 triệu vi khuẩn sống Bacillus (đông khô ở môi trường nuôi cấy).</w:t>
      </w:r>
    </w:p>
    <w:p>
      <w:r>
        <w:t>Tác dụng : Là vi khuẩn sống bình thường trong ruột ở người nhưng không gây bệnh, tổng hợp một số vitamin nhóm B.</w:t>
      </w:r>
    </w:p>
    <w:p>
      <w:r>
        <w:t>Chỉ định : Phòng ngừa các chứng ỉa chảy ở người lớn và trẻ em. Kết hợp với bù nước cho cơ thể.</w:t>
      </w:r>
    </w:p>
    <w:p>
      <w:pPr>
        <w:jc w:val="center"/>
      </w:pPr>
      <w:r>
        <w:t>487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