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Liều dùng : Người lớn, uống mỗi lần 1-2 viên. Nhai viên thuốc cho vỡ vụn rồi chiêu với nước. Uống sau bữa ăn và trước khi đi ngủ. Ngày uống 4-8 viên.</w:t>
      </w:r>
    </w:p>
    <w:p>
      <w:pPr>
        <w:pStyle w:val="Heading1"/>
      </w:pPr>
      <w:r>
        <w:t>Mannitol</w:t>
      </w:r>
    </w:p>
    <w:p>
      <w:r>
        <w:t>Tên khác : D- Manitol</w:t>
      </w:r>
    </w:p>
    <w:p>
      <w:r>
        <w:t>Manite</w:t>
      </w:r>
    </w:p>
    <w:p>
      <w:r>
        <w:t>Mannitolum</w:t>
      </w:r>
    </w:p>
    <w:p>
      <w:r>
        <w:t>Fraxinin</w:t>
      </w:r>
    </w:p>
    <w:p>
      <w:r>
        <w:t>Manna sugar</w:t>
      </w:r>
    </w:p>
    <w:p>
      <w:r>
        <w:t>Mannit</w:t>
      </w:r>
    </w:p>
    <w:p>
      <w:r>
        <w:t>Dạng thuốc : Lọ 100ml dung dịch 10-20%. gói 5g.</w:t>
      </w:r>
    </w:p>
    <w:p>
      <w:r>
        <w:t>Tác dụng : Chất đồng phân với sorbitol. Lợi tiểu do thẩm thấu. Chẩn đoán chức năng thận.</w:t>
      </w:r>
    </w:p>
    <w:p>
      <w:r>
        <w:t>Chỉ định : Phòng hoại tử ống thận cấp trong các trường hợp hạ huyết áp. Điều trị phù não và glôcôm cấp (góc đóng) phối hợp với pilocarpin nhỏ mắt.</w:t>
      </w:r>
    </w:p>
    <w:p>
      <w:r>
        <w:t>Liều dùng : Ngày tiêm truyền tĩnh mạch 250ml (dd 20% với tốc độ 40 giọt/phút. Uống : trị đầy bụng, táo bón. Ngày 1-3 gói - Trị glôcôm : Truyền tĩnh mạch dung dịch 20% (500ml cho người nặng 50kg) tốc độ 10-20ml/phút.</w:t>
      </w:r>
    </w:p>
    <w:p>
      <w:r>
        <w:t>Chống chỉ định : Bệnh thận, suy tim (gây phù nề)</w:t>
      </w:r>
    </w:p>
    <w:p>
      <w:pPr>
        <w:pStyle w:val="Heading1"/>
      </w:pPr>
      <w:r>
        <w:t>Marax (Mỹ)</w:t>
      </w:r>
    </w:p>
    <w:p>
      <w:r>
        <w:t>Dạng thuốc : Viên/thìa càfê (5ml) sirô có :</w:t>
      </w:r>
    </w:p>
    <w:p>
      <w:r>
        <w:t>Ephedrin sulfat 25 / 6,25mg</w:t>
      </w:r>
    </w:p>
    <w:p>
      <w:r>
        <w:t>Theophylin 130 / 32,5mg</w:t>
      </w:r>
    </w:p>
    <w:p>
      <w:r>
        <w:t>Hydroxyzin HCl 10 / 2,5mg</w:t>
      </w:r>
    </w:p>
    <w:p>
      <w:r>
        <w:t>Chỉ định : Co thắt phế quản.</w:t>
      </w:r>
    </w:p>
    <w:p>
      <w:r>
        <w:t>Liều dùng : Viên : người lớn : 1viên/lần, 2-4 lần/ngày.</w:t>
      </w:r>
    </w:p>
    <w:p>
      <w:r>
        <w:t>Có người chỉ cần 1/2-1 viên lúc đi ngủ. Trẻ em 5 tuổi nhạy cảm với ephedrin dùng 1/2 liều. Sirô : trẻ trên 5 tuổi : 1 thìa cà phê mỗi lần, 3-4 lần/ngày. Trẻ từ 2-5 tuổi : 1/2 thìa - 1thìa cà phê mỗi lần. 3-4 lần/ngày.</w:t>
      </w:r>
    </w:p>
    <w:p>
      <w:r>
        <w:t>Chống chỉ định : Bệnh tim mạch, cường tuyến giáp, tăng huyết áp, 3 tháng đầu có thai.</w:t>
      </w:r>
    </w:p>
    <w:p>
      <w:r>
        <w:t>Lưu ý : Rượu và thuốc trầm cảm làm tăng tác dụng của hydroxyzin. Thuốc làm buồn ngủ. Không dùng cho trẻ em dưới 2 tuổi. Thận trọng với người loét dạ dày -tá tràng, suy mạch vành, suy gan -thận, tiền sử động kinh. Không dùng cùng lúc với troleandomycin, erythromycin, cimetidin (tăng nồng độ theophylin trong máu)</w:t>
      </w:r>
    </w:p>
    <w:p>
      <w:pPr>
        <w:pStyle w:val="Heading1"/>
      </w:pPr>
      <w:r>
        <w:t>Marron d'inde</w:t>
      </w:r>
    </w:p>
    <w:p>
      <w:r>
        <w:t>Biệt dược kép:1)Suppositoires Midy (Sanophi pharma)</w:t>
      </w:r>
    </w:p>
    <w:p>
      <w:r>
        <w:t>Dạng thuốc : Thuốc đạn có :</w:t>
      </w:r>
    </w:p>
    <w:p>
      <w:r>
        <w:t>Amylein HCl 25mg</w:t>
      </w:r>
    </w:p>
    <w:p>
      <w:r>
        <w:t>Benzocain hay ethyform 25mg</w:t>
      </w:r>
    </w:p>
    <w:p>
      <w:r>
        <w:t>tinh chất hamamelis 10mg</w:t>
      </w:r>
    </w:p>
    <w:p>
      <w:r>
        <w:t>Tinh chất Marron d'Inde 50mg</w:t>
      </w:r>
    </w:p>
    <w:p>
      <w:r>
        <w:t>Chỉ định : Trị chứng đau, ngứa sần, cảm giác sung huyết, đợt trĩ cấp và bệnh khác ở hậu môn.</w:t>
      </w:r>
    </w:p>
    <w:p>
      <w:r>
        <w:t>Liều dùng : Đặt ở hậu môn 1-2viên/ngày.</w:t>
      </w:r>
    </w:p>
    <w:p>
      <w:r>
        <w:t>Chống chỉ định ; dị ứng thuốc (benzocain)</w:t>
      </w:r>
    </w:p>
    <w:p>
      <w:r>
        <w:t>Lưu ý Chỉ dùng ngắn ngày</w:t>
      </w:r>
    </w:p>
    <w:p>
      <w:r>
        <w:t>2) Veinostase (Richelet)</w:t>
      </w:r>
    </w:p>
    <w:p>
      <w:r>
        <w:t>Dạng thuốc : Dung dịch uống, ống 5ml:</w:t>
      </w:r>
    </w:p>
    <w:p>
      <w:r>
        <w:t>Marron d'Inde (cồn thuốc tươi) 100mg</w:t>
      </w:r>
    </w:p>
    <w:p>
      <w:r>
        <w:t>Hamamelis cao lỏng 100mg</w:t>
      </w:r>
    </w:p>
    <w:p>
      <w:r>
        <w:t>Cyprès cồn thuốc 33mg</w:t>
      </w:r>
    </w:p>
    <w:p>
      <w:r>
        <w:t>Acid ascorbic 100mg</w:t>
      </w:r>
    </w:p>
    <w:p>
      <w:r>
        <w:t>Tác dụng : Bảo vệ mạch, trợ tĩnh mạch.</w:t>
      </w:r>
    </w:p>
    <w:p>
      <w:r>
        <w:t>Chỉ định : Suy chức năng tĩnh mạch bạch huyết (chân nặng, đau nhức, bứt rứt khi nằm). Giòn mao mạch. Cơn đau trĩ cấp.</w:t>
      </w:r>
    </w:p>
    <w:p>
      <w:r>
        <w:t>Liều dùng : Uống 1 ống x 3 lần/ngày. (pha với ít nước)</w:t>
      </w:r>
    </w:p>
    <w:p>
      <w:r>
        <w:t>Lưu ý : Thuốc có sulfit có thể làm nặng phản ứng phản vệ.</w:t>
      </w:r>
    </w:p>
    <w:p>
      <w:r>
        <w:t>Chỉ dùng thuốc ngắn ngày.</w:t>
      </w:r>
    </w:p>
    <w:p>
      <w:r>
        <w:t>Cơn đau trĩ cần kết hợp điều trị đặc biệt.</w:t>
      </w:r>
    </w:p>
    <w:p>
      <w:r>
        <w:t>Giảm huyết khi có kinh ở phụ nữ .</w:t>
      </w:r>
    </w:p>
    <w:p>
      <w:pPr>
        <w:pStyle w:val="Heading1"/>
      </w:pPr>
      <w:r>
        <w:t>Marticassol (Pháp)</w:t>
      </w:r>
    </w:p>
    <w:p>
      <w:r>
        <w:t>Dạng thuốc : Lọ nhỏ mắt 6ml chứa 60mg cao chuẩn độ rau má vi phân.</w:t>
      </w:r>
    </w:p>
    <w:p>
      <w:r>
        <w:t>Tác dụng : Làm lành tổn thương mắt.</w:t>
      </w:r>
    </w:p>
    <w:p>
      <w:r>
        <w:t>Chỉ định : Các rối loạn dinh dưỡng ở giác mạc, dùng sau mổ ở mắt, loét giác mạc. Điều trị bổ trợ các chứng viêm kết mạc do virut và loét giác mạc do nhiễm khuẩn.</w:t>
      </w:r>
    </w:p>
    <w:p>
      <w:r>
        <w:t>Liều dùng : Ngày nhỏ mắt 6 lần (lắc lọ thuốc trước khi dùng).</w:t>
      </w:r>
    </w:p>
    <w:p>
      <w:pPr>
        <w:pStyle w:val="Heading1"/>
      </w:pPr>
      <w:r>
        <w:t>Mastu S forte</w:t>
      </w:r>
    </w:p>
    <w:p>
      <w:r>
        <w:t>Dạng thuốc : Thuốc đạn có :</w:t>
      </w:r>
    </w:p>
    <w:p>
      <w:pPr>
        <w:jc w:val="center"/>
      </w:pPr>
      <w:r>
        <w:t>491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