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Bufexamax 250mg</w:t>
      </w:r>
    </w:p>
    <w:p>
      <w:r>
        <w:t>Bismuth subgalat 100mg</w:t>
      </w:r>
    </w:p>
    <w:p>
      <w:r>
        <w:t>Titanium dioxid 100mg</w:t>
      </w:r>
    </w:p>
    <w:p>
      <w:r>
        <w:t>Lidocain 10mg</w:t>
      </w:r>
    </w:p>
    <w:p>
      <w:r>
        <w:t>Chỉ định : Trĩ độ 1 và 2. Rách nứt, nẻ hậu môn. Viêm sùi các búi trĩ cấp và mạn. Viêm hậu môn đại tràng.</w:t>
      </w:r>
    </w:p>
    <w:p>
      <w:r>
        <w:t>Liều dùng : Tốt nhất, sau đại tiện dùng 1 viên/lần x 2 lần/ngày. Bệnh thuyên giảm dùng 1 viên/ngày. Nên dùng tiếp 8-10 ngày khi đã hết triệu chứng.</w:t>
      </w:r>
    </w:p>
    <w:p>
      <w:r>
        <w:t>Chống chỉ định : Mẫn cảm với 1 thành phần của thuốc.</w:t>
      </w:r>
    </w:p>
    <w:p>
      <w:r>
        <w:t>Lưu ý : Tránh dùng nếu đang điều trị giang mai, lao.</w:t>
      </w:r>
    </w:p>
    <w:p>
      <w:r>
        <w:t>Cân nhắc lợi hại khi dùng cho người mang thai và trẻ em.</w:t>
      </w:r>
    </w:p>
    <w:p>
      <w:r>
        <w:t>Có thể có hiện tượng khó chịu tại chỗ (nóng, đỏ, ngứa)</w:t>
      </w:r>
    </w:p>
    <w:p>
      <w:pPr>
        <w:pStyle w:val="Heading1"/>
      </w:pPr>
      <w:r>
        <w:t>Maxepa (Pháp và Hàn Quốc)</w:t>
      </w:r>
    </w:p>
    <w:p>
      <w:r>
        <w:t>Dạng thuốc : Viên nang mềm gelatin chứa 1g dầu tự nhiên thịt cá đã chuẩn độ theo các dẫn xuất acid béo chưa no ômêga 3 (30%), trong đó có : acid eicosapen taenoic (EPA) 180mg acid docosahexaenoic (DHA 1,20mg và alphatocopherol acetat 1,75mg (2UI)</w:t>
      </w:r>
    </w:p>
    <w:p>
      <w:r>
        <w:t>Tác dụng : Dầu thịt cá chứa nồng độ cao các acid béo chưa no ở nhóm ômêga 3 (30%) dưới dạng tự nhiên là các triglycerid như : EPA (18%) và DHA (12%) - Trên lâm sàng thuốc này giảm rõ rệt các nồng độ trilycerid ở huyết tương và đồng thời có sự tăng HDL - cholesterol. Cơ chế của hiệu lực trên chưa được hoàn toàn biết rõ rất có thể là do ức chế quá trình tổng hợp VLDL</w:t>
      </w:r>
    </w:p>
    <w:p>
      <w:r>
        <w:t>Chỉ định : Như ciprofibrat. Theo cách phân loại của Fredrikson chủ yếu là các tăng triglycerid- huyết tip IIb, các tip III và IV.</w:t>
      </w:r>
    </w:p>
    <w:p>
      <w:r>
        <w:t>Liều dùng : Ngày 3 lần, mỗi lần 2 viên.</w:t>
      </w:r>
    </w:p>
    <w:p>
      <w:r>
        <w:t>Chống chỉ định : Mẫn cảm với một thành phần của thuốc.</w:t>
      </w:r>
    </w:p>
    <w:p>
      <w:r>
        <w:t>Lưu ý : Nếu có tăng ở mức vừa phải thời gian chảy máu, cần theo dõi ở những người điều trị bằng thuốc chống đông và điều chỉnh liều dùng.</w:t>
      </w:r>
    </w:p>
    <w:p>
      <w:pPr>
        <w:pStyle w:val="Heading1"/>
      </w:pPr>
      <w:r>
        <w:t>Megamag (Pháp)</w:t>
      </w:r>
    </w:p>
    <w:p>
      <w:r>
        <w:t>Dạng thuốc : Viên nang Mg ascorbo-aspartat 375mg.</w:t>
      </w:r>
    </w:p>
    <w:p>
      <w:r>
        <w:t>Tác dụng : Chống suy nhược.</w:t>
      </w:r>
    </w:p>
    <w:p>
      <w:r>
        <w:t>Chỉ định : Suy nhược cơ thể.</w:t>
      </w:r>
    </w:p>
    <w:p>
      <w:r>
        <w:t>Liều dùng : Người lớn ngày uống 4-6 viên.</w:t>
      </w:r>
    </w:p>
    <w:p>
      <w:r>
        <w:t>Trẻ em dưới 10 tuổi, uống 2-3 viên/ ngày.</w:t>
      </w:r>
    </w:p>
    <w:p>
      <w:r>
        <w:t>Lưu ý : Tránh dùng chung với calci.</w:t>
      </w:r>
    </w:p>
    <w:p>
      <w:pPr>
        <w:pStyle w:val="Heading1"/>
      </w:pPr>
      <w:r>
        <w:t>Mégasthényl (Pháp)</w:t>
      </w:r>
    </w:p>
    <w:p>
      <w:r>
        <w:t>Dạng thuốc : Ống thuốc uống 5ml chứa 438mg acid ribonucleic và 258,34mg Mn gluconat, dihydrat.</w:t>
      </w:r>
    </w:p>
    <w:p>
      <w:r>
        <w:t>Chỉ định : Chúng suy nhược chức năng.</w:t>
      </w:r>
    </w:p>
    <w:p>
      <w:r>
        <w:t>Liều dùng : Người lớn 1-2 ống, trước bữa ăn, hòa vào cốc nước.</w:t>
      </w:r>
    </w:p>
    <w:p>
      <w:pPr>
        <w:pStyle w:val="Heading1"/>
      </w:pPr>
      <w:r>
        <w:t>Melagemina (Cuba)</w:t>
      </w:r>
    </w:p>
    <w:p>
      <w:r>
        <w:t>Dạng thuốc : Thuốc xức (lọ 235ml) dung dịch nước cồn 50% cao rau thai người.</w:t>
      </w:r>
    </w:p>
    <w:p>
      <w:r>
        <w:t>Tác dụng : Do thúc đẩy sản sinh ra các melanin bào, thuốc tăng cường quá trình tỏng hợp melanin.</w:t>
      </w:r>
    </w:p>
    <w:p>
      <w:r>
        <w:t>Chỉ định : Bệnh bạch biến và những trường hợp mất sắc tố ở da do vết bỏng, vết loét do tia phóng xạ...</w:t>
      </w:r>
    </w:p>
    <w:p>
      <w:r>
        <w:t>Liều dùng : Ngày bôi 3 lần vào các giờ sau : 8 giờ sáng, xát nhẹ trong 5 phút : 14giờ bôi 1 lần như trên : 21giờ, bôi 1lần nữa, nhưng không xát nhẹ, rồi đem chiếu chỗ da bôi thuốc vào tia hồng ngoại (hoặc đem phơi nắng trực tiếp vào hồi 12 hoặc 13 giờ)</w:t>
      </w:r>
    </w:p>
    <w:p>
      <w:pPr>
        <w:pStyle w:val="Heading1"/>
      </w:pPr>
      <w:r>
        <w:t>Melibycin (Hàn Quốc)</w:t>
      </w:r>
    </w:p>
    <w:p>
      <w:r>
        <w:t>Dạng thuốc : Viên nang chứa 250mg cao Melilotus (tương ứng với 2,7mg coumarin). Ống tiêm 2ml chứa 100mg cao nói trên (ứng với 1mg coumarin).</w:t>
      </w:r>
    </w:p>
    <w:p>
      <w:r>
        <w:t>Tác dụng : Chống viêm, phù nề.</w:t>
      </w:r>
    </w:p>
    <w:p>
      <w:r>
        <w:t>Chỉ định : Sưng do chấn thương, trĩ.</w:t>
      </w:r>
    </w:p>
    <w:p>
      <w:pPr>
        <w:pStyle w:val="Heading1"/>
      </w:pPr>
      <w:r>
        <w:t>Ménoliane (Pháp)</w:t>
      </w:r>
    </w:p>
    <w:p>
      <w:r>
        <w:t>Dạng thuốc : Viên nang chứa 50mg cao khô cồn nước Hamamelis, virginiana đã chuẩn độ về flavonoid, tanin và acid gallic.</w:t>
      </w:r>
    </w:p>
    <w:p>
      <w:r>
        <w:t>Tác dụng : Bảo vệ thành mạch, gây co mao mạch và tĩnh mạch.</w:t>
      </w:r>
    </w:p>
    <w:p>
      <w:r>
        <w:t>Chỉ định : Suy tĩnh mạch và đau trĩ.</w:t>
      </w:r>
    </w:p>
    <w:p>
      <w:r>
        <w:t>Liều dùng : Ngày 1-3 viên, uống kèm 1 cốc nước.</w:t>
      </w:r>
    </w:p>
    <w:p>
      <w:pPr>
        <w:jc w:val="center"/>
      </w:pPr>
      <w:r>
        <w:t>492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