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Cao Ribes nigrum 0,3g</w:t>
      </w:r>
    </w:p>
    <w:p>
      <w:r>
        <w:t>Natri citrat 0,1g</w:t>
      </w:r>
    </w:p>
    <w:p>
      <w:r>
        <w:t>Tác dụng : Che chở, tăng sức đề kháng mạch.</w:t>
      </w:r>
    </w:p>
    <w:p>
      <w:r>
        <w:t>Chỉ định : Giãn mao mạch : Bầm máu, đốm xuất huyết, rối loạn tuần hoàn võng mạc, mạch bằng cách phối hợp điều trị bệnh căn đặc hiệu.</w:t>
      </w:r>
    </w:p>
    <w:p>
      <w:r>
        <w:t>Liều dùng : Uống 4 viên/24giờ, trước bữa ăn. Trường hợp bệnh nặng có thể uống 6-8 viên/ngày.</w:t>
      </w:r>
    </w:p>
    <w:p>
      <w:pPr>
        <w:pStyle w:val="Heading1"/>
      </w:pPr>
      <w:r>
        <w:t>Nilacid (Hungari)</w:t>
      </w:r>
    </w:p>
    <w:p>
      <w:r>
        <w:t>Dạng thuốc : Viên nén chứa :</w:t>
      </w:r>
    </w:p>
    <w:p>
      <w:r>
        <w:t>Magnesium trisilicat 250mg</w:t>
      </w:r>
    </w:p>
    <w:p>
      <w:r>
        <w:t>Magnesium oxyd 120mg</w:t>
      </w:r>
    </w:p>
    <w:p>
      <w:r>
        <w:t>Natri phosphat acid 50mg</w:t>
      </w:r>
    </w:p>
    <w:p>
      <w:r>
        <w:t>Bismuth nitrat base 50mg</w:t>
      </w:r>
    </w:p>
    <w:p>
      <w:r>
        <w:t>Tác dụng : Trung hòa acid dịch vị.</w:t>
      </w:r>
    </w:p>
    <w:p>
      <w:r>
        <w:t>Chỉ định : Đau dạ dày do tăng acid ở dịch vị, loét dạ dày- tá tràng.</w:t>
      </w:r>
    </w:p>
    <w:p>
      <w:r>
        <w:t>Liều dùng : Người lớn, ngày 3 lần x 1-2viên.</w:t>
      </w:r>
    </w:p>
    <w:p>
      <w:pPr>
        <w:pStyle w:val="Heading1"/>
      </w:pPr>
      <w:r>
        <w:t>Noigel (Hàn Quốc)</w:t>
      </w:r>
    </w:p>
    <w:p>
      <w:r>
        <w:t>Dạng thuốc : Gói 15ml và lọ 450ml dịch treo cứ 100ml chứa 6,667g Al magnesium silicat.</w:t>
      </w:r>
    </w:p>
    <w:p>
      <w:r>
        <w:t>Chỉ định : Tăng acid dịch vị, viêm dạ dày, loét dạ dày - tá tràng.</w:t>
      </w:r>
    </w:p>
    <w:p>
      <w:r>
        <w:t>Liều dùng : Ngày 3-4 lần x 7,5 -15ml, uống xa bữa ăn.</w:t>
      </w:r>
    </w:p>
    <w:p>
      <w:pPr>
        <w:pStyle w:val="Heading1"/>
      </w:pPr>
      <w:r>
        <w:t>Norgagil (Pháp)</w:t>
      </w:r>
    </w:p>
    <w:p>
      <w:r>
        <w:t>Dạng thuốc : Hộp 375mg thuốc cốm có :</w:t>
      </w:r>
    </w:p>
    <w:p>
      <w:r>
        <w:t>Gôm Sterculia 206,25g</w:t>
      </w:r>
    </w:p>
    <w:p>
      <w:r>
        <w:t>Attapulgit 56,25g</w:t>
      </w:r>
    </w:p>
    <w:p>
      <w:r>
        <w:t>Meprobamat 7,5g</w:t>
      </w:r>
    </w:p>
    <w:p>
      <w:r>
        <w:t>Chỉ định : Bệnh đại tràng chức năng.</w:t>
      </w:r>
    </w:p>
    <w:p>
      <w:r>
        <w:t>Liều dùng : Người lớn, uống 2 thìa càfê, cuối bữa ăn chính và sau khi ăn sáng.</w:t>
      </w:r>
    </w:p>
    <w:p>
      <w:r>
        <w:t>Chống chỉ định : Hẹp ống tiêu hóa.</w:t>
      </w:r>
    </w:p>
    <w:p>
      <w:r>
        <w:t>Lưu ý : Thuốc làm buồn ngủ- Cấm uống rượu hay nước có rượu khi dùng thuốc. Không dùng trong 3 tháng đầu có thai- Không dùng các thuốc khác cùng lúc (giảm hoặc mất tác dụng thuốc khác).- Có cảm giác trướng bụng.</w:t>
      </w:r>
    </w:p>
    <w:p>
      <w:pPr>
        <w:pStyle w:val="Heading1"/>
      </w:pPr>
      <w:r>
        <w:t>Normacol special</w:t>
      </w:r>
    </w:p>
    <w:p>
      <w:r>
        <w:t>Dạng thuốc : Hộp 375g và 1 kg thuốc cốm có : Gôm Sterculia 61%.</w:t>
      </w:r>
    </w:p>
    <w:p>
      <w:r>
        <w:t>Tác dụng : Chất nhày thiên nhiên có tính chất giữ nước cao và tính nhuận tràng cơ học (tăng thể tích phân)</w:t>
      </w:r>
    </w:p>
    <w:p>
      <w:r>
        <w:t>Chỉ định : Táo bón.</w:t>
      </w:r>
    </w:p>
    <w:p>
      <w:r>
        <w:t>Liều dùng : 1-3 thìa càfê vào cuối 2 hay 3 bữa ăn chính. Nhai thuốc rồi chiêu với ít nước.</w:t>
      </w:r>
    </w:p>
    <w:p>
      <w:r>
        <w:t>Chống chỉ định : Hẹp ống tiêu hóa.</w:t>
      </w:r>
    </w:p>
    <w:p>
      <w:r>
        <w:t>Lưu ý : Không dùng thuốc lâu dài - Thuốc gây cảm giác đau bụng- Còn có dạng thuốc Normacol bourdaine và Normacol không có đường (dùng cho người đái tháo đường). Normacol dipropylin trong đó có 0,5% Alverin (dipropylin) có cùng chỉ định và chống chỉ định như trên.</w:t>
      </w:r>
    </w:p>
    <w:p>
      <w:pPr>
        <w:pStyle w:val="Heading1"/>
      </w:pPr>
      <w:r>
        <w:t>Normaflore (Pháp)</w:t>
      </w:r>
    </w:p>
    <w:p>
      <w:r>
        <w:t>Dạng thuốc : Viên chứa 5 triệu vi khuẩn sống Escherichia coli communis đông khô.</w:t>
      </w:r>
    </w:p>
    <w:p>
      <w:r>
        <w:t>Tác dụng : Trị ỉa chảy bằng vi khuẩn.</w:t>
      </w:r>
    </w:p>
    <w:p>
      <w:r>
        <w:t>Chỉ định : Phòng ỉa chảy do dùng kháng sinh, ỉa chảy không phải chức năng.</w:t>
      </w:r>
    </w:p>
    <w:p>
      <w:r>
        <w:t>Liều dùng : Người lớn và trẻ em : 4-8 viên/ngày. Trẻ dưới 30 tháng 1/2liều.</w:t>
      </w:r>
    </w:p>
    <w:p>
      <w:r>
        <w:t>Lưu ý : Cần bù nước và điện giải khi cần thiết.</w:t>
      </w:r>
    </w:p>
    <w:p>
      <w:pPr>
        <w:pStyle w:val="Heading1"/>
      </w:pPr>
      <w:r>
        <w:t>Normogastryl (Pháp)</w:t>
      </w:r>
    </w:p>
    <w:p>
      <w:r>
        <w:t>Dạng thuốc : Viên sủi bọt có :</w:t>
      </w:r>
    </w:p>
    <w:p>
      <w:r>
        <w:t>Natri bicarbonat 0,17g</w:t>
      </w:r>
    </w:p>
    <w:p>
      <w:r>
        <w:t>Natri sulfat khan 0,285g</w:t>
      </w:r>
    </w:p>
    <w:p>
      <w:r>
        <w:t>Dinatri phosphat 0,195g</w:t>
      </w:r>
    </w:p>
    <w:p>
      <w:r>
        <w:t>Natri bromid 0,250g</w:t>
      </w:r>
    </w:p>
    <w:p>
      <w:r>
        <w:t>Natri benzoat 0,120g</w:t>
      </w:r>
    </w:p>
    <w:p>
      <w:r>
        <w:t>Tác dụng : Hiệu chỉnh acid dạ dày, làm êm dịu thần kinh thực vật- 1 viên trung hòa khoảng 5mEq ion H+.</w:t>
      </w:r>
    </w:p>
    <w:p>
      <w:r>
        <w:t>Chỉ định : Các rối loạn do tăng tiết acid dịch vị gây ợ chua, nóng, hồi lưu thực quản, dạ dày, buồn nôn.</w:t>
      </w:r>
    </w:p>
    <w:p>
      <w:r>
        <w:t>Liều dùng : Cho tan viên thuốc trong nửa ly nước, uống sau khi ăn sáng, trưa, chiều và lúc khó chịu. Người lớn : uống 1-2 viên. Trẻ em 3-4 tuổi uống 1/2 viên. Trẻ còn bú dưới 3 tuổi uống 1/4viên.</w:t>
      </w:r>
    </w:p>
    <w:p>
      <w:r>
        <w:t>Lưu ý : Gây trầm dịu, dùng lâu sẽ nổi mụn trứng cá, ban da.</w:t>
      </w:r>
    </w:p>
    <w:p>
      <w:pPr>
        <w:jc w:val="center"/>
      </w:pPr>
      <w:r>
        <w:t>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