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xml:space="preserve">Spasmocarbine </w:t>
      </w:r>
    </w:p>
    <w:p>
      <w:r>
        <w:t>Than hoạt tính Methenamin 15g 2g Benzonaphtol 5g Cao Lạc tiên 0,40g Mg bromid 2,5g Cao Jusquiam 0,10g Cao Cà rốt 0,10g Bột Cà dược 0,10g Dùng pha vani viagra.</w:t>
      </w:r>
    </w:p>
    <w:p>
      <w:r>
        <w:t>Chỉ định : Đau bụng cao thất, bệnh đái tràng chức năng, rối loạn tiêu hóa, khó tiêu và da chày thường.</w:t>
      </w:r>
    </w:p>
    <w:p>
      <w:r>
        <w:t>Liệu dùng : 1-3 thìa cafe, sau bữa ăn hay vào lúc đầu.</w:t>
      </w:r>
    </w:p>
    <w:p>
      <w:r>
        <w:t>Chồng chỉ định; Vợ, chồng tuyển tiền liệt, trẻ em dưới 15 tuổi.</w:t>
      </w:r>
    </w:p>
    <w:p>
      <w:r>
        <w:t>Lưu ý: Với tính hợp lệ của than, tránh dùng cùng lúc với những thuốc dễ bị Spasmocarbine pháp thử.</w:t>
      </w:r>
    </w:p>
    <w:p>
      <w:pPr>
        <w:pStyle w:val="Heading1"/>
      </w:pPr>
      <w:r>
        <w:t xml:space="preserve">Spasmosedine </w:t>
      </w:r>
    </w:p>
    <w:p>
      <w:r>
        <w:t>Dạng thức : Viên có :</w:t>
      </w:r>
    </w:p>
    <w:p>
      <w:r>
        <w:t>Quinin bromhydrat 0,05g Cao Sơn tra ổn định 0,05gPhenobarbital 12mg</w:t>
      </w:r>
    </w:p>
    <w:p>
      <w:r>
        <w:t>Chỉ định 1: Rối loạn chức năng tim do bị kích thích, đánh trống ngực, ngoài tim thể, đau trước tim, mất cân bằng tim do nội tiết, xúc cảm. Co thắt mạch ở người tănghuyết áp.và co thắt động mạch (nhục dầu, ù tai, chóng mặt, co thắt dầu chi).</w:t>
      </w:r>
    </w:p>
    <w:p>
      <w:r>
        <w:t>Liều dùng : Uống 2-6 viên/ngày.</w:t>
      </w:r>
    </w:p>
    <w:p>
      <w:r>
        <w:t>Chứng chỉ đen : Rối loạn chuyển hóa porphyrin, suy hô hấp nặng. Thiếu G6PD.</w:t>
      </w:r>
    </w:p>
    <w:p>
      <w:r>
        <w:t xml:space="preserve">Lưu ý: Thuốc làm bùn ngủ. Cấm uống rượu khi dùng thuốc </w:t>
      </w:r>
    </w:p>
    <w:p>
      <w:pPr>
        <w:pStyle w:val="Heading1"/>
      </w:pPr>
      <w:r>
        <w:t>Speman forte (nĐ)</w:t>
      </w:r>
    </w:p>
    <w:p>
      <w:r>
        <w:t>Dungthực : Viên nén chứa các bột dược thảo sau đây :</w:t>
      </w:r>
    </w:p>
    <w:p>
      <w:r>
        <w:t>Orchis mascula 39mg Hygrophila spinosa 19mg Lactuca scariola 10mg Mucuna pruriens 10mg Các cao thuốc Argyreia speciosal9mg Tribulus terrestris 19mg Leptadenia reticulata 19mg Parmelia perkins 19mg Suvarnavang 10mg Rauwolfia serpentina da tiêu chuẩn hóa chứa 1,5mg toàn bộ alcaloid.</w:t>
      </w:r>
    </w:p>
    <w:p>
      <w:r>
        <w:t>Chỉ định : Xuất tinh sớm, mộng tinh, dị tinh.Sai lịch tình dục do lão suy. Thở sâu.</w:t>
      </w:r>
    </w:p>
    <w:p>
      <w:r>
        <w:t xml:space="preserve">Liquid : Xuất tinh sớm : ngày 1-2 viên x 4lần/ngày.Đốt 2-4 tuần. Mang tinh, dị tinh :lưu dùng như trên trong 4-6 tuần, sau giảm liều tiếp 4 tuần nữa. Thủ dâm :lưu dùng như trên, trừ 4-8 tuần, cho tới khi kiểm chế được). </w:t>
      </w:r>
    </w:p>
    <w:p>
      <w:r>
        <w:t>Lưu ý: Thuốc không có chủng chỉ danh vì không chứa hormon nên ít gây tác dụng phụ.</w:t>
      </w:r>
    </w:p>
    <w:p>
      <w:pPr>
        <w:pStyle w:val="Heading1"/>
      </w:pPr>
      <w:r>
        <w:t xml:space="preserve">Spain </w:t>
      </w:r>
    </w:p>
    <w:p>
      <w:r>
        <w:t xml:space="preserve">Dungthuc : Viên nang cứng: ascara sagrada nghiên cứu 0,26g Qumran amara nghiên cứu 0,01g Thanh tháo mạc 0,0015g Lactose 0,25g Mg stearat 0,015g </w:t>
      </w:r>
    </w:p>
    <w:p>
      <w:r>
        <w:t>Chỉ định : Táo bón.</w:t>
      </w:r>
    </w:p>
    <w:p>
      <w:r>
        <w:t>Liều dùng : Uống 1-3 viên/ngày, sau các bữa ăn.</w:t>
      </w:r>
    </w:p>
    <w:p>
      <w:r>
        <w:t>Chúng chỉ định : Viêm dạ dày- đau bụng không rõ nguyên nhân.</w:t>
      </w:r>
    </w:p>
    <w:p>
      <w:r>
        <w:t>Lưu ý: Không dùng thuốc lâu dài. Nếu bị tia cháy, đau bụng thì ngừng thuốc.Không dùng cho phụ nữ có thai hoặc nuôi con bú.</w:t>
      </w:r>
    </w:p>
    <w:p>
      <w:pPr>
        <w:pStyle w:val="Heading1"/>
      </w:pPr>
      <w:r>
        <w:t xml:space="preserve">Splenin </w:t>
      </w:r>
    </w:p>
    <w:p>
      <w:r>
        <w:t xml:space="preserve">Dạng thức : Ống tiêm 1ml </w:t>
      </w:r>
    </w:p>
    <w:p>
      <w:r>
        <w:t>Tác dụng : Là hormon không chứa protein lấy từ lách trâu bò.</w:t>
      </w:r>
    </w:p>
    <w:p>
      <w:r>
        <w:t xml:space="preserve">Chỉ danh 1: Điều chỉnh các rối loạn chuyển hóa chất béo và làm tăng chức năng giải độc của gan, dùng phòng và điều tán bệnh nhiễm độc thai nghén. </w:t>
      </w:r>
    </w:p>
    <w:p>
      <w:r>
        <w:t>Liều dùng 1: Nhiễm độc d 1 : tiêm dưới da hoặc bắp thịt hàng ngày 2lần, trong 8-10ngày.Nhiễm độc d 2 : tiêm hàng ngày 2ml (làm 1hoặc 2 lần, mỗi lần 1ml), trong 10-13 ngày.Nhiễm độc d 3: Tiêm 2ml, hai lần trong 3 ngày,trong 10-15 ngày và truyền thêm đủ số lượng dịch thử. Nên kết hợp đồng dung dịch tiêm NaCl dạng trương, glucose u trương40%bromid và các phương tiện điều trị nhiễm độc thai nghén khác.</w:t>
      </w:r>
    </w:p>
    <w:p>
      <w:pPr>
        <w:pStyle w:val="Heading1"/>
      </w:pPr>
      <w:r>
        <w:t xml:space="preserve">Middlesex </w:t>
      </w:r>
    </w:p>
    <w:p>
      <w:r>
        <w:t xml:space="preserve">Y ao tan trong nước phân hóa 0,12g-0,18g </w:t>
      </w:r>
    </w:p>
    <w:p>
      <w:pPr>
        <w:jc w:val="center"/>
      </w:pPr>
      <w:r>
        <w:t>538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left"/>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