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viêm dạ dày thể dày (phì đại: gastrique hypertrophique)có lúc giống như bệnh loét dạ dày (ulcère gastrique) phần nhiều biểu hiện đau bụng trên, nóng rút, chua, thuốc có tính kiềm có thể làm nhỏ cơn đau, đa số không giảm thực dọc. </w:t>
      </w:r>
    </w:p>
    <w:p>
      <w:pPr>
        <w:pStyle w:val="Heading1"/>
      </w:pPr>
      <w:r>
        <w:t>Phương pháp 1:</w:t>
      </w:r>
    </w:p>
    <w:p>
      <w:r>
        <w:t>Điều dưỡng tinh thần có tác dụng quan trọng đối với bệnh viêm da dày mạn tính. Với sự lo nghĩ và các kích thích tinh thần có thể làm cản trở hoạt động của vi đại não, tạo thành ra lớn chức năng thần kinh thực vật, dẫn đến sự phân tiết và vận dụng của da dày mất điều hòa,điều có thể làm tăng và tái phát viêm da dày. Vì vậy cần duy trì tinh thần thư thái, khoái lạc, tình cảm ổn định, nétránh các kích thích, để can khí điều đạt thư thái, bình thường nên khoan dung đối phó, tự mình vui vẻ, duy trìđược tâm tình thư thái, khí huyết</w:t>
      </w:r>
    </w:p>
    <w:p>
      <w:pPr>
        <w:pStyle w:val="Heading1"/>
      </w:pPr>
      <w:r>
        <w:t>Phương pháp 2:</w:t>
      </w:r>
    </w:p>
    <w:p>
      <w:r>
        <w:t>Viêm dạ dày phân nhiều thuộc bệnh mãn tính. Ngoài việc điều trị theo thường qui, theo giờ uống thức ra, còn nên giữ chế độ nghỉ ngơi nghiêm túc, bảo đảm ngủ nghỉđầy đủ, càng có lợi cho sự phát huy tác dụng điều trị của các thể thức, xúc tiến sự hồi phục bệnh trình, lại nên hết sức "tĩnh trung hữu động" mà tham gia vận động và rèn luyện tăng cường thể chất, tăng cường sự cơ chế phân tiết và nhu động đường vị tràng, tăng thêm thức uống. Cho nên bệnh nhân cần căn cứ vào bệnh tình nặng nhẹ mà</w:t>
      </w:r>
    </w:p>
    <w:p>
      <w:pPr>
        <w:jc w:val="center"/>
      </w:pPr>
      <w:r>
        <w:t>60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