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20ngày/tháng. - Trực tràng : 4viên/ngày cho đến hết trĩ.</w:t>
      </w:r>
    </w:p>
    <w:p>
      <w:pPr>
        <w:pStyle w:val="Heading1"/>
      </w:pPr>
      <w:r>
        <w:t>Venomin (Hàn Quốc)</w:t>
      </w:r>
    </w:p>
    <w:p>
      <w:r>
        <w:t>Dạng thuốc : Viên nang mềm chứa :</w:t>
      </w:r>
    </w:p>
    <w:p>
      <w:r>
        <w:t>Tinh dầu tỏi (tương ứng với 0,1mg allicin) 100mg</w:t>
      </w:r>
    </w:p>
    <w:p>
      <w:r>
        <w:t>Cao hạt dẻ Ấn Độ (tương ứng với 7,5mg aescin) 50mg</w:t>
      </w:r>
    </w:p>
    <w:p>
      <w:r>
        <w:t>Vitamin A 20000IU</w:t>
      </w:r>
    </w:p>
    <w:p>
      <w:r>
        <w:t>Vitamin B1 2mg</w:t>
      </w:r>
    </w:p>
    <w:p>
      <w:r>
        <w:t>Vitamin B2 2mg</w:t>
      </w:r>
    </w:p>
    <w:p>
      <w:r>
        <w:t>Vitamin B6 2mg</w:t>
      </w:r>
    </w:p>
    <w:p>
      <w:r>
        <w:t>Vitamin E 50mg</w:t>
      </w:r>
    </w:p>
    <w:p>
      <w:r>
        <w:t>Procain HCl 50mg</w:t>
      </w:r>
    </w:p>
    <w:p>
      <w:r>
        <w:t>Chỉ định : Các suy nhược về thể chất và tâm thần ở người có tuổi, rối loạn thần kinh ngoại vi, bất lực.</w:t>
      </w:r>
    </w:p>
    <w:p>
      <w:r>
        <w:t>Liều dùng : Người lớn, ngày 1 viên, sau bữa ăn sáng.</w:t>
      </w:r>
    </w:p>
    <w:p>
      <w:pPr>
        <w:pStyle w:val="Heading1"/>
      </w:pPr>
      <w:r>
        <w:t>Vényl</w:t>
      </w:r>
    </w:p>
    <w:p>
      <w:r>
        <w:t>Dạng thuốc : Ống 10ml thuốc uống có :</w:t>
      </w:r>
    </w:p>
    <w:p>
      <w:r>
        <w:t>Cao lỏng Rusus aculeatus 1,5ml</w:t>
      </w:r>
    </w:p>
    <w:p>
      <w:r>
        <w:t>Hesperidin methyl chalcon 0,15g</w:t>
      </w:r>
    </w:p>
    <w:p>
      <w:r>
        <w:t>Acid ascorbic 0,10g</w:t>
      </w:r>
    </w:p>
    <w:p>
      <w:r>
        <w:t>Magnesi citrat 0,10g</w:t>
      </w:r>
    </w:p>
    <w:p>
      <w:r>
        <w:t>Kali gluconat 0,20g</w:t>
      </w:r>
    </w:p>
    <w:p>
      <w:r>
        <w:t>Tác dụng : Trợ tĩnh mạch.</w:t>
      </w:r>
    </w:p>
    <w:p>
      <w:r>
        <w:t>Chỉ định : Phụ trị, các rối loạn tuần hoàn chân, khó chịu lúc có kinh, trĩ.</w:t>
      </w:r>
    </w:p>
    <w:p>
      <w:r>
        <w:t>Liều dùng : Uống 1-2 ống/ngày pha với nửa ly nước, uống trước bữa ăn.</w:t>
      </w:r>
    </w:p>
    <w:p>
      <w:pPr>
        <w:pStyle w:val="Heading1"/>
      </w:pPr>
      <w:r>
        <w:t>Veriane Buriat (Pháp)</w:t>
      </w:r>
    </w:p>
    <w:p>
      <w:r>
        <w:t>Dạng thuốc : Lọ 125ml thuốc uống/viên/thuốc đạn người lớn có :</w:t>
      </w:r>
    </w:p>
    <w:p>
      <w:r>
        <w:t>Barbital 0,125/0,125/0,40g</w:t>
      </w:r>
    </w:p>
    <w:p>
      <w:r>
        <w:t>Cao Valerian 0,40/0,015/0,10g</w:t>
      </w:r>
    </w:p>
    <w:p>
      <w:r>
        <w:t>Tác dụng : Làm êm dịu, ngủ.</w:t>
      </w:r>
    </w:p>
    <w:p>
      <w:r>
        <w:t>Chỉ định : Mất ngủ lúc đầu hay nửa đêm. Tiền gây mê. Loạn trương lực thần kinh thực vật.</w:t>
      </w:r>
    </w:p>
    <w:p>
      <w:r>
        <w:t>Liều dùng : Người lớn 2-5 thìa càfê hay 2-5viên, hay 1-2 thuốc đạn. Trẻ em : 25giọt (tức 1/3 thìa càfê)/24giờ. Để gây ngủ (thuốc nước và thuốc đạn) uống 1/2giờ tới 45 phút trước khi đi ngủ. Mất ngủ lúc đêm uống 1-3 viên trước khi đi ngủ.</w:t>
      </w:r>
    </w:p>
    <w:p>
      <w:r>
        <w:t>Chống chỉ định : Viêm thận nặng kèm vô niệu.</w:t>
      </w:r>
    </w:p>
    <w:p>
      <w:r>
        <w:t>Lưu ý : Không uống rượu hoặc bất kỳ thứ gì có rượu khi dùng thuốc. Thuốc có thể kéo dài phản xạ gân gót</w:t>
      </w:r>
    </w:p>
    <w:p>
      <w:pPr>
        <w:pStyle w:val="Heading1"/>
      </w:pPr>
      <w:r>
        <w:t>Vericardine (Pháp)</w:t>
      </w:r>
    </w:p>
    <w:p>
      <w:r>
        <w:t>Dạng thuốc : Viên có :</w:t>
      </w:r>
    </w:p>
    <w:p>
      <w:r>
        <w:t>Papaverin HCl 0,015g</w:t>
      </w:r>
    </w:p>
    <w:p>
      <w:r>
        <w:t>Quinin HBr 0,02g</w:t>
      </w:r>
    </w:p>
    <w:p>
      <w:r>
        <w:t>Phenobarbital 0,02g</w:t>
      </w:r>
    </w:p>
    <w:p>
      <w:r>
        <w:t>Cao Sơn tra 0,15g</w:t>
      </w:r>
    </w:p>
    <w:p>
      <w:r>
        <w:t>Tác dụng : Làm êm dịu. Điều hòa hệ thần kinh thực vật và tim mạch.</w:t>
      </w:r>
    </w:p>
    <w:p>
      <w:r>
        <w:t>Chỉ định : Rối loạn chức năng tim, dễ kích thích : đánh trống ngực, hồi hộp, đau trước tim, co rút, đau nhức đầu chi.</w:t>
      </w:r>
    </w:p>
    <w:p>
      <w:r>
        <w:t>Liều dùng : Uống 1-3 viên trước một trong các bữa ăn chính.</w:t>
      </w:r>
    </w:p>
    <w:p>
      <w:r>
        <w:t>Mất ngủ co rút về đêm, uống 2-4 viên lúc đi ngủ.</w:t>
      </w:r>
    </w:p>
    <w:p>
      <w:r>
        <w:t>Chống chỉ định : Rối loạn chuyển hóa porphyrin, suy hô hấp nặng, thiếu G6PD</w:t>
      </w:r>
    </w:p>
    <w:p>
      <w:r>
        <w:t>Lưu ý : Thuốc làm buồn ngủ- Cấm uống rượu và bất cứ thứ gì có rượu khi dùng thuốc</w:t>
      </w:r>
    </w:p>
    <w:p>
      <w:pPr>
        <w:pStyle w:val="Heading1"/>
      </w:pPr>
      <w:r>
        <w:t>Verorab (Pasteur Merieux-Pháp)</w:t>
      </w:r>
    </w:p>
    <w:p>
      <w:r>
        <w:t>Tên khác : Imovax Rabies Vero</w:t>
      </w:r>
    </w:p>
    <w:p>
      <w:r>
        <w:t>Dạng thuốc : Lọ thuốc tiêm 1 liều. kèm ống tiêm chứa sẵn 0,5ml dung môi.</w:t>
      </w:r>
    </w:p>
    <w:p>
      <w:r>
        <w:t>Chỉ định : Vaccin phòng dại đã mất hoạt tính. Để điều trị những người bị chó dại cắn hoặc phòng dại cho nhân viên thú y.</w:t>
      </w:r>
    </w:p>
    <w:p>
      <w:r>
        <w:t>Liều dùng : Chỉ dùng tiêm bắp hoặc tiêm dưới da- Phòng dại : 2 lần tiêm cách nhau 1 nắm, và sau đó cứ 3 năm 1 lần.</w:t>
      </w:r>
    </w:p>
    <w:p>
      <w:r>
        <w:t>Chống chỉ định : Sốt tiến triển (hoãn tiêm)- sau khi lấy nhiễm không có chống chỉ định.</w:t>
      </w:r>
    </w:p>
    <w:p>
      <w:r>
        <w:t>Lưu ý : Người đã tiêm chủng, bị con vật cắn hoặc lây nhiễm bắt buộc phải đi khám, mang theo giấy chứng nhận tiêm chủng.</w:t>
      </w:r>
    </w:p>
    <w:p>
      <w:r>
        <w:t>Thận trọng với người dị ứng Streptomycin, Neomycin, Polymycin B.</w:t>
      </w:r>
    </w:p>
    <w:p>
      <w:r>
        <w:t>Tại chỗ tiêm, hiếm gặp ban đỏ nổi cục cứng nhỏ (24-48 giờ), vài trường hợp tăng thân nhiệt, suy nhược tạm thời.</w:t>
      </w:r>
    </w:p>
    <w:p>
      <w:r>
        <w:t>Nếu đang sốt cấp, hoặc phụ nữ có thai, có thể trì hoãn tiêm vaccin này.</w:t>
      </w:r>
    </w:p>
    <w:p>
      <w:pPr>
        <w:jc w:val="center"/>
      </w:pPr>
      <w:r>
        <w:t>564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