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(không được để ra ngoài mạch). Mỗi lần tiêm 0,25mg, ngày tiêm 0,5mg, cách 12 giờ tiêm 1 lần - Liều tối đa 1 lần/0,5mg, 24giờ/1mg.</w:t>
      </w:r>
    </w:p>
    <w:p>
      <w:r>
        <w:t>Chống chỉ định : Nhồi máu cơ tim- Viêm màng trong tim cấp-Dùng đồng thời với digitalin (phải nghỉ thuốc digitalin, ít nhất 3 ngày.)</w:t>
      </w:r>
    </w:p>
    <w:p>
      <w:r>
        <w:t>Lưu ý : Tránh pha lẫn với các thuốc khác. Giảm liều nếu suy thận, suy hô hấp nặng vì gây giảm oxy máu.</w:t>
      </w:r>
    </w:p>
    <w:p>
      <w:pPr>
        <w:pStyle w:val="Heading1"/>
      </w:pPr>
      <w:r>
        <w:t>Oxyboldin</w:t>
      </w:r>
    </w:p>
    <w:p>
      <w:r>
        <w:t>Dạng thuốc : Viên sủi bọt có :</w:t>
      </w:r>
    </w:p>
    <w:p>
      <w:r>
        <w:t>Boldin 0,0096mg</w:t>
      </w:r>
    </w:p>
    <w:p>
      <w:r>
        <w:t>Na sulfat khan 0,54g</w:t>
      </w:r>
    </w:p>
    <w:p>
      <w:r>
        <w:t>Mononatri phosphat 1,32mg</w:t>
      </w:r>
    </w:p>
    <w:p>
      <w:r>
        <w:t>Natri bicarbonat 1,450g</w:t>
      </w:r>
    </w:p>
    <w:p>
      <w:r>
        <w:t>Tác dụng : Thông mật, kháng acid, nhuận tràng.</w:t>
      </w:r>
    </w:p>
    <w:p>
      <w:r>
        <w:t>Chỉ định : Khó tiêu, trướng bụng, ợ, đầy hơi, buồn nôn, khó tiêu. Rát ống thực quản, thượng vị.</w:t>
      </w:r>
    </w:p>
    <w:p>
      <w:r>
        <w:t>Liều dùng : Uống 1 viên x 3 lần vào sáng, trưa, chiều hoặc vào lúc đau, khó chịu.</w:t>
      </w:r>
    </w:p>
    <w:p>
      <w:r>
        <w:t>Lưu ý : Tránh dùng nếu tắc đường mật - Có thể bị ỉa chảy (giảm liều).</w:t>
      </w:r>
    </w:p>
    <w:p>
      <w:pPr>
        <w:pStyle w:val="Heading1"/>
      </w:pPr>
      <w:r>
        <w:t>Ozothine (Pháp)</w:t>
      </w:r>
    </w:p>
    <w:p>
      <w:r>
        <w:t>Dạng thuốc : Ống tiêm chứa 0,2% oxy hóa của tinh dầu thông, trong dung dịch glucose đẳng trương. Ống 10ml (người lớn), 5ml (trẻ em trở lên), 2ml (trẻ em dưới 6 tuổi).</w:t>
      </w:r>
    </w:p>
    <w:p>
      <w:r>
        <w:t>Sirô, cứ 100ml có 0,2g các dẫn chất oxy hóa trên đây kèm 500mg dionin HCl, 7g Natri benzoat, 9g cồn 95o và 0,6g tinh dầu bạc hà - Lọ 125ml</w:t>
      </w:r>
    </w:p>
    <w:p>
      <w:r>
        <w:t>Tác dụng : Sát khuẩn đường hô hấp, làm lỏng dịch tiết ở phế quản, tăng cường cung cấp oxy cho máu và các mô.</w:t>
      </w:r>
    </w:p>
    <w:p>
      <w:r>
        <w:t>Chỉ định : Các bệnh đường hô hấp cấp hoặc mạn, nhiễm khuẩn (có hoặc không phối hợp với kháng sinh) -Phòng bội nhiễm sau phẫu thuật phổi. Các bệnh đường hô hấp trên (Tai mũi họng).</w:t>
      </w:r>
    </w:p>
    <w:p>
      <w:r>
        <w:t>Liều dùng : Tiêm tĩnh mạch hoặc bắp thịt 1-2 ống/ngày.</w:t>
      </w:r>
    </w:p>
    <w:p>
      <w:r>
        <w:t>Sirô : Người lớn uống ngày 3 lần, mỗi lần 1 thìa canh. Trẻ em từ 4-15 tuổi uống 3 lần, mỗi lần 1 thìa càfê.</w:t>
      </w:r>
    </w:p>
    <w:p>
      <w:pPr>
        <w:pStyle w:val="Heading1"/>
      </w:pPr>
      <w:r>
        <w:t>P</w:t>
      </w:r>
    </w:p>
    <w:p>
      <w:pPr>
        <w:pStyle w:val="Heading1"/>
      </w:pPr>
      <w:r>
        <w:t>Paikinase (Pháp)</w:t>
      </w:r>
    </w:p>
    <w:p>
      <w:r>
        <w:t>Dạng thuốc : Ống thuốc mỡ có 15g, có 5% cao tinh chế papain tan trong nước và 1,5% bacitracin (tương ứng với 50 đvqt/mg).</w:t>
      </w:r>
    </w:p>
    <w:p>
      <w:r>
        <w:t>Tác dụng : Phối hợp thuốc kháng khuẩn với tác nhân làm sạch, mau lành vết thương.</w:t>
      </w:r>
    </w:p>
    <w:p>
      <w:r>
        <w:t>Chỉ định : Vết thương nhiễm khuẩn, áp xe, đinh, hậu bối, viêm tấy. Rửa vết thương với nước, muối đẳng trương, thấm khô, bôi 1 lớp mỏng thuốc, thay băng 1-2 lần/24giờ.</w:t>
      </w:r>
    </w:p>
    <w:p>
      <w:pPr>
        <w:pStyle w:val="Heading1"/>
      </w:pPr>
      <w:r>
        <w:t>Pancreabil</w:t>
      </w:r>
    </w:p>
    <w:p>
      <w:r>
        <w:t>Dạng thuốc : Viên nén bọc.</w:t>
      </w:r>
    </w:p>
    <w:p>
      <w:r>
        <w:t>Nội mô túi mật (phun sương) 192mg</w:t>
      </w:r>
    </w:p>
    <w:p>
      <w:r>
        <w:t>Fenocinol 20mg</w:t>
      </w:r>
    </w:p>
    <w:p>
      <w:r>
        <w:t>Tác dụng : Phối hợp dạng thuốc phủ tạng với thuốc chống co thắt ống dẫn mật.</w:t>
      </w:r>
    </w:p>
    <w:p>
      <w:r>
        <w:t>Chỉ định : Rối loạn chậm tiêu, kèm cảm giác đau : đầy bụng, nấc, buồn nôn...</w:t>
      </w:r>
    </w:p>
    <w:p>
      <w:r>
        <w:t>Liều dùng : Ngày uống 3 lần, mỗi lần 2viên, vào bữa ăn.</w:t>
      </w:r>
    </w:p>
    <w:p>
      <w:pPr>
        <w:pStyle w:val="Heading1"/>
      </w:pPr>
      <w:r>
        <w:t>Pancreatin</w:t>
      </w:r>
    </w:p>
    <w:p>
      <w:r>
        <w:t>Biệt dược : Creon (Pháp)</w:t>
      </w:r>
    </w:p>
    <w:p>
      <w:r>
        <w:t>Festale N(Roussel VN)</w:t>
      </w:r>
    </w:p>
    <w:p>
      <w:r>
        <w:t>Nezym forte (Đức)</w:t>
      </w:r>
    </w:p>
    <w:p>
      <w:r>
        <w:t>Neo- Panpur (Hungari)</w:t>
      </w:r>
    </w:p>
    <w:p>
      <w:r>
        <w:t>Dạng thuốc : Viên nén, viên nang hay gói thuốc bột chứa 300-500mg hoặc 1g pancreatin.</w:t>
      </w:r>
    </w:p>
    <w:p>
      <w:r>
        <w:t>Tác dụng : Là dạng thuốc bào chế từ tuyến tụy của lợn, bò... dưới hình thức bột màu trắng hoặc vàng nhạt, chứa các men tiêu hóa ở tụy, như : trypsin, amylase và lipase.</w:t>
      </w:r>
    </w:p>
    <w:p>
      <w:r>
        <w:t>Chỉ định : Các chứng đầy bụng, chậm tiêu do suy tuyến tụy ở một số bệnh như viêm tụy, rối loạn gan- mật</w:t>
      </w:r>
    </w:p>
    <w:p>
      <w:r>
        <w:t>Liều dùng : Người lớn, ngày uống 0.5-3g.</w:t>
      </w:r>
    </w:p>
    <w:p>
      <w:pPr>
        <w:jc w:val="center"/>
      </w:pPr>
      <w:r>
        <w:t>504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