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Tribenosid 5g</w:t>
      </w:r>
    </w:p>
    <w:p>
      <w:r>
        <w:t>Lidocain HCl 2g</w:t>
      </w:r>
    </w:p>
    <w:p>
      <w:r>
        <w:t>Một thuốc đạn có :</w:t>
      </w:r>
    </w:p>
    <w:p>
      <w:r>
        <w:t>Tribenosid 400mg</w:t>
      </w:r>
    </w:p>
    <w:p>
      <w:r>
        <w:t>Lidocain HCl 400mg</w:t>
      </w:r>
    </w:p>
    <w:p>
      <w:r>
        <w:t>Chỉ định : Trĩ nội và trĩ ngoại.</w:t>
      </w:r>
    </w:p>
    <w:p>
      <w:r>
        <w:t>Liều dùng : Cấp tính bôi kem hoặc đặt thuốc 2 lần/ngày, sáng và tối, sau đó giảm xuống 1lần/ngày. Ống 30g dùng khoảng 30 lần.</w:t>
      </w:r>
    </w:p>
    <w:p>
      <w:r>
        <w:t>Chống chỉ định : Mẫn cảm với 1 thành phần của thuốc.</w:t>
      </w:r>
    </w:p>
    <w:p>
      <w:r>
        <w:t>Lưu ý : Hạn chế dùng cho người mang thai, nhất là 3 tháng đầu thai kỳ.</w:t>
      </w:r>
    </w:p>
    <w:p>
      <w:r>
        <w:t>Cân nhắc lợi/hại khi dùng cho người nuôi con bú.</w:t>
      </w:r>
    </w:p>
    <w:p>
      <w:r>
        <w:t>Có thể đau rát nhẹ tại chỗ.</w:t>
      </w:r>
    </w:p>
    <w:p>
      <w:r>
        <w:t>Tăng vận động ruột.</w:t>
      </w:r>
    </w:p>
    <w:p>
      <w:pPr>
        <w:pStyle w:val="Heading1"/>
      </w:pPr>
      <w:r>
        <w:t>Proflor (Pháp)</w:t>
      </w:r>
    </w:p>
    <w:p>
      <w:r>
        <w:t>Dạng thuốc : Viên nang có :</w:t>
      </w:r>
    </w:p>
    <w:p>
      <w:r>
        <w:t>Lactobacillus acidophilus đồng khô trên sữa manitol 18^8-10^9 canh thang môi trường nuôi cấy đông khô 0,01g</w:t>
      </w:r>
    </w:p>
    <w:p>
      <w:r>
        <w:t>Tác dụng : Chữa ỉa chảy do vi khuẩn (thuốc là những vi khuẩn sống không gây bệnh).</w:t>
      </w:r>
    </w:p>
    <w:p>
      <w:r>
        <w:t>Chỉ định : Phòng ỉa chảy do dùng kháng sinh. Chữa triệu chứng ỉa chảy không phải thực tổn ở người lớn, trẻ em và trẻ còn bú. Ở trẻ em cần bổ xung bằng bù nước theo yêu cầu điều trị bệnh.</w:t>
      </w:r>
    </w:p>
    <w:p>
      <w:r>
        <w:t>Liều dùng : Uống 4viên/ngày- uống xa bữa ăn- Trẻ em : uống viên hoặc lấy bột trong viên trộn với thức ăn hoặc ít nước cho uống.</w:t>
      </w:r>
    </w:p>
    <w:p>
      <w:pPr>
        <w:pStyle w:val="Heading1"/>
      </w:pPr>
      <w:r>
        <w:t>Promag (Indonesia)</w:t>
      </w:r>
    </w:p>
    <w:p>
      <w:r>
        <w:t>Dạng thuốc : Viên nén chứa :</w:t>
      </w:r>
    </w:p>
    <w:p>
      <w:r>
        <w:t>Mg trisilicat 300mg</w:t>
      </w:r>
    </w:p>
    <w:p>
      <w:r>
        <w:t>Al hydroxyd gel 300mg</w:t>
      </w:r>
    </w:p>
    <w:p>
      <w:r>
        <w:t>Dimeticon 325mg</w:t>
      </w:r>
    </w:p>
    <w:p>
      <w:r>
        <w:t>Vitamin B1 2mg</w:t>
      </w:r>
    </w:p>
    <w:p>
      <w:r>
        <w:t>Vitamin B2 1mg</w:t>
      </w:r>
    </w:p>
    <w:p>
      <w:r>
        <w:t>Vitamin B6 0,5mcg</w:t>
      </w:r>
    </w:p>
    <w:p>
      <w:r>
        <w:t>Vitamin B12 10mcg</w:t>
      </w:r>
    </w:p>
    <w:p>
      <w:r>
        <w:t>Niacinamid 5mg</w:t>
      </w:r>
    </w:p>
    <w:p>
      <w:r>
        <w:t>Ca pantothenat 1mg</w:t>
      </w:r>
    </w:p>
    <w:p>
      <w:r>
        <w:t>Tác dụng : Phối hợp thuốc chống acid dịch vị, chống đầy hơi, và các vitamin nhóm B.</w:t>
      </w:r>
    </w:p>
    <w:p>
      <w:r>
        <w:t>Chỉ định : Trị liệu chứng đau thượng vị, đau bụng, chậm tiêu, buồn nôn kèm với loét dạ dày - tá tràng, tăng acid dịch vị.</w:t>
      </w:r>
    </w:p>
    <w:p>
      <w:r>
        <w:t>Liều dùng : Ngày 3-4 lần. Mỗi lần : người lớn 1-2 viên. Trẻ em : 1/2-1viên. Uống 1-2 giờ sau bữa ăn và khi đi ngủ buổi tối.</w:t>
      </w:r>
    </w:p>
    <w:p>
      <w:pPr>
        <w:pStyle w:val="Heading1"/>
      </w:pPr>
      <w:r>
        <w:t>Prolactin</w:t>
      </w:r>
    </w:p>
    <w:p>
      <w:r>
        <w:t>Mammotrophin, physolactin là nội tiết của thùy trước tuyến yên gây tiết sữa.</w:t>
      </w:r>
    </w:p>
    <w:p>
      <w:r>
        <w:t>Dạng thuốc : Lọ 5ml, mỗi ml có 5 đơn vị.</w:t>
      </w:r>
    </w:p>
    <w:p>
      <w:r>
        <w:t>Chỉ định và liều dùng : Làm tăng tiết sữa sau khi đẻ. Tiêm bắp thịt 1ml, 2 lần 1 ngày trong 5-6 ngày.</w:t>
      </w:r>
    </w:p>
    <w:p>
      <w:pPr>
        <w:pStyle w:val="Heading1"/>
      </w:pPr>
      <w:r>
        <w:t>Proscillaridin</w:t>
      </w:r>
    </w:p>
    <w:p>
      <w:r>
        <w:t>Proscillaridin A</w:t>
      </w:r>
    </w:p>
    <w:p>
      <w:r>
        <w:t>Dạng thuốc : Viên nén hoặc bọc đường 0,25 và 0,5mg.</w:t>
      </w:r>
    </w:p>
    <w:p>
      <w:r>
        <w:t>Tác dụng : Glucosid lấy từ cây Scilla martima var alba, có tác dụng co sợi cơ dương tính, tương đương với glucosid loại digitoxin, nhưng tác dụng làm chậm nhịp tim và giảm tính dẫn truyền ở cơ tim ít rõ rệt, còn có tác dụng lợi tiểu.</w:t>
      </w:r>
    </w:p>
    <w:p>
      <w:r>
        <w:t>Chỉ định : Các thể suy tim xung huyết, suy tâm thất trái cấp hoặc bán cấp, suy tim mạn, suy tim kèm nhịp chậm, suy tim ở người già, bệnh nhân không dung nạp với digitoxin và dẫn chất.</w:t>
      </w:r>
    </w:p>
    <w:p>
      <w:r>
        <w:t>Liều dùng : Vài ngày đầu : Người lớn : 3-5 viên/ngày, liều duy trì : 2-4viên/ngày.</w:t>
      </w:r>
    </w:p>
    <w:p>
      <w:r>
        <w:t>Chống chỉ định : Tăng calci -huyết, phụ nữ có thai (tháng đầu.)</w:t>
      </w:r>
    </w:p>
    <w:p>
      <w:r>
        <w:t>Lưu ý : Tránh dùng cùng lúc với thuốc tiêm calci - Không dùng thuốc trước khi sốc điện.</w:t>
      </w:r>
    </w:p>
    <w:p>
      <w:pPr>
        <w:pStyle w:val="Heading1"/>
      </w:pPr>
      <w:r>
        <w:t>Prostaveron (Pháp)</w:t>
      </w:r>
    </w:p>
    <w:p>
      <w:r>
        <w:t>Dạng thuốc : Ống tiêm 1ml có :</w:t>
      </w:r>
    </w:p>
    <w:p>
      <w:r>
        <w:t>Cao tuyến tiền liệt 0,013g</w:t>
      </w:r>
    </w:p>
    <w:p>
      <w:r>
        <w:t>Metacresol 0,003g</w:t>
      </w:r>
    </w:p>
    <w:p>
      <w:r>
        <w:t>Tác dụng : Tác dụng đặc hiệu trên tuyến tiền liệt và cơ bàng quang.</w:t>
      </w:r>
    </w:p>
    <w:p>
      <w:r>
        <w:t>Chỉ định : Phì đại tuyến tiền liệt, viêm tuyến tiền liệt mạn tính, đái dầm nam giới, dùng trước và sau phẫu thuật tuyến tiền liệt.</w:t>
      </w:r>
    </w:p>
    <w:p>
      <w:r>
        <w:t>Liều dùng : Tiêm bắp thịt sâu 1ml/ngày hay 2ml cách nhật trong 1 tháng (30ống)- Dùng lâu dài hay lặp lại tùy theo kết quả.</w:t>
      </w:r>
    </w:p>
    <w:p>
      <w:pPr>
        <w:pStyle w:val="Heading1"/>
      </w:pPr>
      <w:r>
        <w:t>Protamin sulfat</w:t>
      </w:r>
    </w:p>
    <w:p>
      <w:r>
        <w:t>Tác dụng : Hợp chất loại protein điều chế</w:t>
      </w:r>
    </w:p>
    <w:p>
      <w:pPr>
        <w:jc w:val="center"/>
      </w:pPr>
      <w:r>
        <w:t>515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