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nang. Tiêm truyền tĩnh mạch : 2-4 ống 15mg pha vào 250ml dung dịch NaCl hoặc glucose đẳng trương. Còn dùng tiêm bắp : Ngày 1-2 ống 5mg</w:t>
      </w:r>
    </w:p>
    <w:p>
      <w:r>
        <w:t>Chống chỉ định : Các thề tân tạo ở não kèm tăng áp lực nội sọ ; phụ nữ có thai.</w:t>
      </w:r>
    </w:p>
    <w:p>
      <w:r>
        <w:t>Lưu ý : Thuốc không có tác dụng hạ huyết áp lâu dài.</w:t>
      </w:r>
    </w:p>
    <w:p>
      <w:r>
        <w:t>- Khi tiêm truyền phải chậm, khoảng cách 2 lần tiêm là 12 giờ.</w:t>
      </w:r>
    </w:p>
    <w:p>
      <w:r>
        <w:t>- Nếu di chứng nhồi máu cơ tim, rối loạn nhịp tim, dùng liều thấp tăng từ từ, theo dõi điện tâm đồ.</w:t>
      </w:r>
    </w:p>
    <w:p>
      <w:r>
        <w:t>- Nếu hạ kali huyết, cần điều chỉnh trước khi dùng thuốc.</w:t>
      </w:r>
    </w:p>
    <w:p>
      <w:r>
        <w:t>Tương tác thuốc : Chống chỉ định với amiodaron, bepridil, disopyramid, erythromycin IV, hydroquinidin, sotalol, sultoprid (nguy cơ gây xoắn đỉnh). Khuyên không phối hợp với : amphoterecin B IV, glucomineralocorticoid, tetracosactid, các thuốc lợi tiểu hạ kali huyết, các thuốc nhuận tràng kích thích (gây hạ kali huyết).</w:t>
      </w:r>
    </w:p>
    <w:p>
      <w:pPr>
        <w:pStyle w:val="Heading1"/>
      </w:pPr>
      <w:r>
        <w:t>Vincamin cetoglutarat</w:t>
      </w:r>
    </w:p>
    <w:p>
      <w:r>
        <w:t>Biệt dược : Oxovinca (Pháp)</w:t>
      </w:r>
    </w:p>
    <w:p>
      <w:r>
        <w:t>Dạng thuốc : Viên nén 20mg, lọ 90ml thuốc giọt uống 1,33g/100ml.</w:t>
      </w:r>
    </w:p>
    <w:p>
      <w:r>
        <w:t>Tác dụng : Như Vicamin.</w:t>
      </w:r>
    </w:p>
    <w:p>
      <w:r>
        <w:t>Chỉ định : Các rối loạn tâm thần, cư xử do chứng lão hóa ở não.</w:t>
      </w:r>
    </w:p>
    <w:p>
      <w:r>
        <w:t>Liều dùng : Trung bình uống 2 lần, sáng và tối, mỗi lần 1 viên hay 30 giọt (nếu bị nặng có thể uống tới 3 lần).</w:t>
      </w:r>
    </w:p>
    <w:p>
      <w:r>
        <w:t>Chống chỉ định : U não kèm tăng áp lực sọ não. Phụ nữ có thai.</w:t>
      </w:r>
    </w:p>
    <w:p>
      <w:r>
        <w:t>Lưu ý : Trong các di chứng nhồi máu cơ tim và loạn nhịp cần dùng liều tăng dần, và có theo dõi điện tâm đồ - Khi có giảm kali huyết, làm thay đổi tính chịu kích thích của cơ tim, cần điều chỉnh kali- huyết trước khi dùng - Thuốc không có tác dụng làm hạ huyết áp, nên với người bị tăng huyết áp vẫn phải dùng thuốc điều trị đặc hiệu</w:t>
      </w:r>
    </w:p>
    <w:p>
      <w:pPr>
        <w:pStyle w:val="Heading1"/>
      </w:pPr>
      <w:r>
        <w:t>Vincristin</w:t>
      </w:r>
    </w:p>
    <w:p>
      <w:r>
        <w:t>Vincaleukoblastin ; 22-oxo -leucocristin (Viết tắt là VCR).</w:t>
      </w:r>
    </w:p>
    <w:p>
      <w:r>
        <w:t>Dạng thuốc : Lọ thuốc bột đông khô 0,5mg kèm 10ml dung dịch NaCl 0,9%. Lọ 1mg/1ml</w:t>
      </w:r>
    </w:p>
    <w:p>
      <w:r>
        <w:t>Tác dụng : Chống ung thư- Chống nguyên nhân. Là một alcaloid chiết xuất từ cây Dừa cạn. (Vinca rosea) có tác dụng ức chế phân bào ở các bạch cầu và tế bào ung thư.</w:t>
      </w:r>
    </w:p>
    <w:p>
      <w:r>
        <w:t>Chỉ định : Bệnh bạch cầu lymphô và tủy cấp tính ở trẻ em, u bào thần kinh, bệnh Hodgkin sarcôm lưới.</w:t>
      </w:r>
    </w:p>
    <w:p>
      <w:r>
        <w:t>Liều dùng : Tiêm tĩnh mạch -trẻ em 0,03mg/kg/7ngày. Sau tăng dần liều tối đa là 0,1mg/kg/7 ngày. Liều duy trì : 0,025kg/7ngày.</w:t>
      </w:r>
    </w:p>
    <w:p>
      <w:r>
        <w:t>Chống chỉ định : Giảm bạch cầu.</w:t>
      </w:r>
    </w:p>
    <w:p>
      <w:pPr>
        <w:pStyle w:val="Heading1"/>
      </w:pPr>
      <w:r>
        <w:t>Vindesin</w:t>
      </w:r>
    </w:p>
    <w:p>
      <w:r>
        <w:t>Dạng thuốc : Lọ thuốc bột đông khô 1-4 và 5mg</w:t>
      </w:r>
    </w:p>
    <w:p>
      <w:r>
        <w:t>Tác dụng : Chống ung thư - chống nguyên nhân. Kim tế bào ung thư phát triển tương tự như vincristin.</w:t>
      </w:r>
    </w:p>
    <w:p>
      <w:r>
        <w:t>Chỉ định : Tăng bạch cầu lymphô cấp và u lymphô đã dùng những thứ thuốc khác mà chưa khỏi. Các u rắn ở vú, thực quản, ung thư phế quản - phổi.</w:t>
      </w:r>
    </w:p>
    <w:p>
      <w:r>
        <w:t>Liều dùng : Chỉ dùng tiêm tĩnh mạch. người lớn : 3mg/m2 bề mặt thân thể /7-10ngày. Trẻ em : 4mg/m2/7-10 ngày. Đợt dùng 30 ngày.</w:t>
      </w:r>
    </w:p>
    <w:p>
      <w:r>
        <w:t>Chống chỉ định : Phụ nữ có thai hoặc nuôi con bú. Giảm bạch cầu, giảm tiểu cầu. Người nhiễm khuẩn nặng.</w:t>
      </w:r>
    </w:p>
    <w:p>
      <w:pPr>
        <w:pStyle w:val="Heading1"/>
      </w:pPr>
      <w:r>
        <w:t>Vineran (Hàn Quốc)</w:t>
      </w:r>
    </w:p>
    <w:p>
      <w:r>
        <w:t>Dạng thuốc : Viên nén chứa :</w:t>
      </w:r>
    </w:p>
    <w:p>
      <w:r>
        <w:t>Retinol acetat 5000 đvqt</w:t>
      </w:r>
    </w:p>
    <w:p>
      <w:r>
        <w:t>Ergocalciferol 400 đvqt</w:t>
      </w:r>
    </w:p>
    <w:p>
      <w:r>
        <w:t>Kem 8 vitamin khác và 6 muối khoáng.</w:t>
      </w:r>
    </w:p>
    <w:p>
      <w:r>
        <w:t>Chỉ định : Bổ xung các vitamin và muối khoáng cho cơ thể.</w:t>
      </w:r>
    </w:p>
    <w:p>
      <w:r>
        <w:t>Liều dùng : Người lớn ngày 1 viên.</w:t>
      </w:r>
    </w:p>
    <w:p>
      <w:r>
        <w:t>Lưu ý : Còn có Bd Vineran S - viên nén có 2mg retinol acetat, 60mg tocopherol acetat 10 muối khoáng. Chỉ định và liều dùng cũng như trên.</w:t>
      </w:r>
    </w:p>
    <w:p>
      <w:pPr>
        <w:pStyle w:val="Heading1"/>
      </w:pPr>
      <w:r>
        <w:t>Vinorelbin ditartrat</w:t>
      </w:r>
    </w:p>
    <w:p>
      <w:r>
        <w:t>Biệt dược : Navelbine (pháp)</w:t>
      </w:r>
    </w:p>
    <w:p>
      <w:r>
        <w:t>Dạng thuốc : Lọ thuốc tiêm 1ml 13,85mg tương ứng với 10mg vinorelbin base và lọ 5ml có 69,25mg tương ứng 50mg vinorelbin base.</w:t>
      </w:r>
    </w:p>
    <w:p>
      <w:r>
        <w:t>Tác dụng : Thuốc chống ung thư kìm tế bào</w:t>
      </w:r>
    </w:p>
    <w:p>
      <w:pPr>
        <w:jc w:val="center"/>
      </w:pPr>
      <w:r>
        <w:t>567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