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Liều dùng : Người lớn và trẻ em : Ngày 2 gói; Trẻ em dưới 12 tháng 1 gói, uống vào cuối bữa ăn</w:t>
      </w:r>
    </w:p>
    <w:p>
      <w:pPr>
        <w:pStyle w:val="Heading1"/>
      </w:pPr>
      <w:r>
        <w:t>Lysifer (Pháp)</w:t>
      </w:r>
    </w:p>
    <w:p>
      <w:r>
        <w:t>Dạng thuốc : Viên có :</w:t>
      </w:r>
    </w:p>
    <w:p>
      <w:r>
        <w:t>Phức hợp sắt (Fe2+)</w:t>
      </w:r>
    </w:p>
    <w:p>
      <w:r>
        <w:t>sulfat glycocol 150mg</w:t>
      </w:r>
    </w:p>
    <w:p>
      <w:r>
        <w:t>Vitamin B12 khan 200mcg</w:t>
      </w:r>
    </w:p>
    <w:p>
      <w:r>
        <w:t>Vitamin B6 5mg</w:t>
      </w:r>
    </w:p>
    <w:p>
      <w:r>
        <w:t>L-lysin HCl 200mg</w:t>
      </w:r>
    </w:p>
    <w:p>
      <w:r>
        <w:t>Tác dụng : Trị liệu với sắt.</w:t>
      </w:r>
    </w:p>
    <w:p>
      <w:r>
        <w:t>Chỉ định : Thiếu máu do thiếu sắt và B12</w:t>
      </w:r>
    </w:p>
    <w:p>
      <w:r>
        <w:t>Liều dùng : Nhu cầu sắt người lớn 100-200mg sắt kim loại/ngày. Trẻ em : 6-10mg sắt/kg/ngày. Người lớn uống 4-8 viên ngày.</w:t>
      </w:r>
    </w:p>
    <w:p>
      <w:r>
        <w:t>Chống chỉ định : Thừa sắt. Dị ứng với vitamin B12.</w:t>
      </w:r>
    </w:p>
    <w:p>
      <w:r>
        <w:t>Lưu ý : Có thể giảm hấp thụ các cyclin. Phân có màu đen. Có thể bị buồn nôn, táo bón.</w:t>
      </w:r>
    </w:p>
    <w:p>
      <w:pPr>
        <w:pStyle w:val="Title"/>
      </w:pPr>
      <w:r>
        <w:t>M</w:t>
      </w:r>
    </w:p>
    <w:p>
      <w:pPr>
        <w:pStyle w:val="Heading1"/>
      </w:pPr>
      <w:r>
        <w:t>Maalox (Pháp)</w:t>
      </w:r>
    </w:p>
    <w:p>
      <w:r>
        <w:t>Dạng thuốc : Viên nén</w:t>
      </w:r>
    </w:p>
    <w:p>
      <w:r>
        <w:t>Al hydroxyd 400mg</w:t>
      </w:r>
    </w:p>
    <w:p>
      <w:r>
        <w:t>Mg hydroxyd 400mg</w:t>
      </w:r>
    </w:p>
    <w:p>
      <w:r>
        <w:t>Dịch treo uống lọ 250ml, cứ 100ml có 3,49g Al hydroxyd và 3,99g Mg hydroxyd dưới dạng gel.</w:t>
      </w:r>
    </w:p>
    <w:p>
      <w:r>
        <w:t>Tác dụng : Kháng acid dịch vị, bảo vệ niêm mạc thực quản - dạ dày- tá tràng, không cản tia X</w:t>
      </w:r>
    </w:p>
    <w:p>
      <w:r>
        <w:t>Chỉ định : Viêm dạ dày, thoát vị hoành, đầy bụng, chậm tiêu, phối hợp trong điều trị loét dạ dày- tá tràng.</w:t>
      </w:r>
    </w:p>
    <w:p>
      <w:r>
        <w:t>Liều dùng : Ngày dùng 1-2 viên, vào sau bữa ăn, từ nửa đến 1 giờ (pha hoặc ngậm). hoặc 1 thìa canh dịch treo, sau khi ăn hoặc khi có cơn đau</w:t>
      </w:r>
    </w:p>
    <w:p>
      <w:r>
        <w:t>Biệt dược tương tự : Maaloxid (Phar-mamexco)</w:t>
      </w:r>
    </w:p>
    <w:p>
      <w:r>
        <w:t>Meko- malox (Meko pharma)</w:t>
      </w:r>
    </w:p>
    <w:p>
      <w:pPr>
        <w:pStyle w:val="Heading1"/>
      </w:pPr>
      <w:r>
        <w:t>Maalox plus (Mỹ)</w:t>
      </w:r>
    </w:p>
    <w:p>
      <w:r>
        <w:t>Dạng thuốc : Viên nén để nhai có :</w:t>
      </w:r>
    </w:p>
    <w:p>
      <w:r>
        <w:t>Al hydroxyd (gel khô) 200mg</w:t>
      </w:r>
    </w:p>
    <w:p>
      <w:r>
        <w:t>Mg hydroxyd 200mg</w:t>
      </w:r>
    </w:p>
    <w:p>
      <w:r>
        <w:t>Simethicon 25mg</w:t>
      </w:r>
    </w:p>
    <w:p>
      <w:r>
        <w:t>Tác dụng - chỉ định : Như Maalox</w:t>
      </w:r>
    </w:p>
    <w:p>
      <w:r>
        <w:t>Liều dùng : Ngày dùng 4 lần, mỗi lần 2 -4 viên, uống từ nửa đến 1 giờ, sau bữa ăn hoặc trước khi đi ngủ buổi tối.</w:t>
      </w:r>
    </w:p>
    <w:p>
      <w:r>
        <w:t>Chống chỉ định : Dùng cùng với tetracyclin (giảm hấp thu của kháng sinh).</w:t>
      </w:r>
    </w:p>
    <w:p>
      <w:pPr>
        <w:pStyle w:val="Heading1"/>
      </w:pPr>
      <w:r>
        <w:t>Madecassol</w:t>
      </w:r>
    </w:p>
    <w:p>
      <w:r>
        <w:t>Dạng thuốc : Ống tiêm 1ml/20mg - Viên nén 10mg- Thuốc mỡ 1%. - Bột rắc 2%.</w:t>
      </w:r>
    </w:p>
    <w:p>
      <w:r>
        <w:t>Tác dụng : Cao rau má (centella asiatica) có tác dụng kích thích quá trình dinh dưỡng ở mô liên kết (hoạt chất là acid asiatic), làm cho vết thương mau lành.</w:t>
      </w:r>
    </w:p>
    <w:p>
      <w:r>
        <w:t>Chỉ định : Chân nặng, loét giãn tĩnh mạch, bỏng, vết thương hay mổ, tổn thương da niêm mạc tai - mũi - họng, mắt.</w:t>
      </w:r>
    </w:p>
    <w:p>
      <w:r>
        <w:t>Liều dùng : Chỉ dùng tiêm bắp ngày 1 ống, hoặc uống 3-5viên/ngày vào các bữa ăn. Trẻ em dùng nửa liều - Dùng tại chỗ : bôi hay rắc bột 1-2 lần/ngày.</w:t>
      </w:r>
    </w:p>
    <w:p>
      <w:pPr>
        <w:pStyle w:val="Heading1"/>
      </w:pPr>
      <w:r>
        <w:t>Madecassol neomycine</w:t>
        <w:br/>
        <w:t>Hydrocortisone (Pháp)</w:t>
      </w:r>
    </w:p>
    <w:p>
      <w:r>
        <w:t>Dạng thuốc : Thuốc mỡ 10g có :</w:t>
      </w:r>
    </w:p>
    <w:p>
      <w:r>
        <w:t>Cao chuẩn độ Centella asiatica 1g</w:t>
      </w:r>
    </w:p>
    <w:p>
      <w:r>
        <w:t>Hydrocortison acetat 1g</w:t>
      </w:r>
    </w:p>
    <w:p>
      <w:r>
        <w:t>Neomycin 350000 UI</w:t>
      </w:r>
    </w:p>
    <w:p>
      <w:r>
        <w:t>Chất bảo quản và tá dược vđ</w:t>
      </w:r>
    </w:p>
    <w:p>
      <w:r>
        <w:t>Tác dụng : Thuốc phối hợp kháng sinh và corticoid với cao rau má chuẩn độ, dùng tại chỗ ngoài da.</w:t>
      </w:r>
    </w:p>
    <w:p>
      <w:r>
        <w:t>Chỉ định : Vết thương và bệnh da bội nhiễm, nhạy cảm với corticoid dùng trong 8 ngày.</w:t>
      </w:r>
    </w:p>
    <w:p>
      <w:r>
        <w:t>Liều dùng : Bôi lên vết thương 1-2lần/ngày.</w:t>
      </w:r>
    </w:p>
    <w:p>
      <w:r>
        <w:t>Chống chỉ định : Bệnh da nhiễm khuẩn, virut nấm.</w:t>
      </w:r>
    </w:p>
    <w:p>
      <w:r>
        <w:t>Mẫn cảm với Neomycin và parahydroxybenzoat.</w:t>
      </w:r>
    </w:p>
    <w:p>
      <w:pPr>
        <w:jc w:val="center"/>
      </w:pPr>
      <w:r>
        <w:t>488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