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giảm thể tích máu : Sốc do bỏng, chấn thương nặng, phẫu thuật, pha loãng máu.</w:t>
      </w:r>
    </w:p>
    <w:p>
      <w:r>
        <w:t>Liều dùng : Lúc đầu, truyền chậm 10-20ml/Theo dõi bệnh nhân phòng phản ứng có thể xảy ra. Liều dùng tùy thuộc vào tình trạng bệnh. Tăng thể tích huyết tương khoảng 250-1000ml/ngày. Pha loãng máu 500ml/ngày, kéo dài vài ngày. Tốc độ truyền tối thiểu 30 phút/500ml (cấp cứu có thể nhanh hơn).</w:t>
      </w:r>
    </w:p>
    <w:p>
      <w:r>
        <w:t>Chống chỉ định : Quá tải thể tích tuần hoàn, suy tim ứ huyết, suy thận mạn kèm đái ít hoặc vô niệu, creatinin máu 2mg/dl, cơ địa dễ xuất huyết, quá mẫn cảm với thuốc.</w:t>
      </w:r>
    </w:p>
    <w:p>
      <w:r>
        <w:t>Lưu ý : Có thể có phản ứng phản vệ (sau vài phút tiêm) : ngứa dữ dội, đỏ bừng mặt, dứt hơi do như chẹn họng, sau đó nôn quặn bụng, rút cơ bụng, tim nhanh, tụt HA, ngừng tim, ngừng thở. Xử trí : ngừng thuốc, lưu kim cho epinephrin và theo dõi mạch, HA. Dùng glucocorticoid IV và kháng histamin và thực hiện các nguyên tắc cấp cứu thông thường.</w:t>
      </w:r>
    </w:p>
    <w:p>
      <w:r>
        <w:t>Chỉ dùng cho người mang thai hoặc nuôi con bú khi thật cần thiết.</w:t>
      </w:r>
    </w:p>
    <w:p>
      <w:r>
        <w:t>Coi chừng : quá tải tuần hoàn, thận trọng với người có bệnh về đông máu, suy tim, phù phổi, suy thận, bệnh gan mạn.</w:t>
      </w:r>
    </w:p>
    <w:p>
      <w:r>
        <w:t>Cần cân đối điện giải (bổ xung điều trị), và thành phần máu (hồng cầu, huyết sắc tố, nồng độ protein...),</w:t>
      </w:r>
    </w:p>
    <w:p>
      <w:r>
        <w:t>Tương tác : Làm thay đổi các thông số hóa lâm sàng.</w:t>
      </w:r>
    </w:p>
    <w:p>
      <w:r>
        <w:t>Tránh trộn với thuốc khác (có thể có tương kỵ mắt thường không nhìn thấy). Dùng với aminoglycosid tăng tác dụng độc trên thận.</w:t>
      </w:r>
    </w:p>
    <w:p>
      <w:r>
        <w:t>Tác dụng phụ : Có thể bị sốc phản vệ (cần có phương tiện cấp cứu)</w:t>
      </w:r>
    </w:p>
    <w:p>
      <w:r>
        <w:t>Ngứa (pha loãng máu)</w:t>
      </w:r>
    </w:p>
    <w:p>
      <w:r>
        <w:t>Amylase huyết thanh tăng cao, trở lại bình thường sau 3- 5ngày sau khi ngừng thuốc.</w:t>
      </w:r>
    </w:p>
    <w:p>
      <w:r>
        <w:t>Dùng liều cao tăng nguy cơ chảy máu.</w:t>
      </w:r>
    </w:p>
    <w:p>
      <w:pPr>
        <w:pStyle w:val="Heading1"/>
      </w:pPr>
      <w:r>
        <w:t>Relvene (Pháp)</w:t>
      </w:r>
    </w:p>
    <w:p>
      <w:r>
        <w:t>Dạng thuốc : Gel ống 60g bôi tại chỗ 2%.</w:t>
      </w:r>
    </w:p>
    <w:p>
      <w:r>
        <w:t>Gói bột 1g O-(b-hydroxyethyl)-rutosid.</w:t>
      </w:r>
    </w:p>
    <w:p>
      <w:r>
        <w:t>Tác dụng : Che chở mạch.</w:t>
      </w:r>
    </w:p>
    <w:p>
      <w:r>
        <w:t>Chỉ định : Suy tĩnh mạch- bạch huyết, rối loạn chức năng (chân nặng, dị cảm, co thắt, đau nhức), phù.</w:t>
      </w:r>
    </w:p>
    <w:p>
      <w:r>
        <w:t>Liều dùng : Ngày bôi 3-4 lần hoặc uống 1-2 gói pha vào ít nước.</w:t>
      </w:r>
    </w:p>
    <w:p>
      <w:r>
        <w:t>Chống chỉ định : Phụ nữ có thai hoặc nuôi con bú.</w:t>
      </w:r>
    </w:p>
    <w:p>
      <w:pPr>
        <w:pStyle w:val="Heading1"/>
      </w:pPr>
      <w:r>
        <w:t>Rennie (Pháp)</w:t>
      </w:r>
    </w:p>
    <w:p>
      <w:r>
        <w:t>Dạng thuốc : Viên nén có :</w:t>
      </w:r>
    </w:p>
    <w:p>
      <w:r>
        <w:t>Calci carbonat 680mg</w:t>
      </w:r>
    </w:p>
    <w:p>
      <w:r>
        <w:t>Mg carbonat nặng 80mg</w:t>
      </w:r>
    </w:p>
    <w:p>
      <w:r>
        <w:t>Tác dụng : Chống acid dịch vị, giảm đau dạ dày.</w:t>
      </w:r>
    </w:p>
    <w:p>
      <w:r>
        <w:t>Chỉ định : Các chứng đau do tăng acid dịch vị ở dạ dày, thực quản, tá tràng.</w:t>
      </w:r>
    </w:p>
    <w:p>
      <w:r>
        <w:t>Liều dùng : Ngày uống 3- 4 lần x 1-2 viên vào sau bữa ăn hoặc lúc đau. Ngậm hoặc nhai viên thuốc.</w:t>
      </w:r>
    </w:p>
    <w:p>
      <w:r>
        <w:t>Lưu ý : Người bị suy thận. Thuốc có 475mg saccarose, nên lưu ý không dùng với người bị đái đường.</w:t>
      </w:r>
    </w:p>
    <w:p>
      <w:r>
        <w:t>Dùng cách xa các thuốc khác 2 giờ. Không dùng cùng lúc với indometacin và phosphor do tương tác.</w:t>
      </w:r>
    </w:p>
    <w:p>
      <w:pPr>
        <w:pStyle w:val="Heading1"/>
      </w:pPr>
      <w:r>
        <w:t>Renutryl (Pháp)</w:t>
      </w:r>
    </w:p>
    <w:p>
      <w:r>
        <w:t>Dạng thuốc : Hộp 375ml chất lỏng có : (500 Kcal= 2092 Kjoule).</w:t>
      </w:r>
    </w:p>
    <w:p>
      <w:r>
        <w:t>Retinol hay axerophtol 833 dvqt</w:t>
      </w:r>
    </w:p>
    <w:p>
      <w:r>
        <w:t>Riboflavin 3mg</w:t>
      </w:r>
    </w:p>
    <w:p>
      <w:r>
        <w:t>Thiamin nitrat 2,89mg</w:t>
      </w:r>
    </w:p>
    <w:p>
      <w:r>
        <w:t>Ca pantothenat 9,49mg</w:t>
      </w:r>
    </w:p>
    <w:p>
      <w:r>
        <w:t>Pyridoxin HCl 2,1mg</w:t>
      </w:r>
    </w:p>
    <w:p>
      <w:r>
        <w:t>Vitamin C 75mg</w:t>
      </w:r>
    </w:p>
    <w:p>
      <w:r>
        <w:t>Nicotinamid 10,5mg</w:t>
      </w:r>
    </w:p>
    <w:p>
      <w:r>
        <w:t>MgO nặng 34,88mg</w:t>
      </w:r>
    </w:p>
    <w:p>
      <w:r>
        <w:t>MnSO4 3,94mg</w:t>
      </w:r>
    </w:p>
    <w:p>
      <w:r>
        <w:t>KCl 600mg</w:t>
      </w:r>
    </w:p>
    <w:p>
      <w:r>
        <w:t>FeSO4 15mg</w:t>
      </w:r>
    </w:p>
    <w:p>
      <w:r>
        <w:t>Na caseinat 12,5mg</w:t>
      </w:r>
    </w:p>
    <w:p>
      <w:r>
        <w:t>Các lactoprotien 21,5mg</w:t>
      </w:r>
    </w:p>
    <w:p>
      <w:r>
        <w:t>Các men lactic xấy khô 3g</w:t>
      </w:r>
    </w:p>
    <w:p>
      <w:r>
        <w:t>Chất béo 4g</w:t>
      </w:r>
    </w:p>
    <w:p>
      <w:r>
        <w:t>Dầu đậu nành 4g</w:t>
      </w:r>
    </w:p>
    <w:p>
      <w:r>
        <w:t>Dịch thủy phân tinh bột 45g</w:t>
      </w:r>
    </w:p>
    <w:p>
      <w:r>
        <w:t>Đường 20g</w:t>
      </w:r>
    </w:p>
    <w:p>
      <w:r>
        <w:t>Tác dụng : Chế phẩm thực chế dùng làm thức ăn lỏng (uống qua ống thông) có 24% protein, 20% các lipid, 56% glucid.</w:t>
      </w:r>
    </w:p>
    <w:p>
      <w:r>
        <w:t>Chỉ định : Dinh dưỡng trị liệu nội- ngoại khoa - hồi sức- chuyển hóa- dưỡng bệnh tại nhà - dinh dưỡng trước và sau phẫu thuật.</w:t>
      </w:r>
    </w:p>
    <w:p>
      <w:r>
        <w:t>Liều dùng : Uống với nước, bằng thìa hay bằng ống thông dạ dày thực quản. Liều thay đổi từ 1-6 hộp/ngày.</w:t>
      </w:r>
    </w:p>
    <w:p>
      <w:r>
        <w:t>Chống chỉ định : Mẫn cảm với lactose.</w:t>
      </w:r>
    </w:p>
    <w:p>
      <w:r>
        <w:t>Lưu ý : Các ngày đầu nên dùng Renutryl</w:t>
      </w:r>
    </w:p>
    <w:p>
      <w:pPr>
        <w:jc w:val="center"/>
      </w:pPr>
      <w:r>
        <w:t>523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