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COURSE SYLLABUS</w:t>
      </w:r>
    </w:p>
    <w:p>
      <w:pPr>
        <w:pStyle w:val="pStyle"/>
      </w:pPr>
      <w:r>
        <w:rPr>
          <w:rStyle w:val="blodNormalText"/>
        </w:rPr>
        <w:t xml:space="preserve">COURSE SYLLABUS: </w:t>
      </w:r>
      <w:r>
        <w:rPr>
          <w:rStyle w:val="rStyle"/>
        </w:rPr>
        <w:t xml:space="preserve">Discrete Mathematics</w:t>
      </w:r>
    </w:p>
    <w:p>
      <w:pPr>
        <w:pStyle w:val="pStyle"/>
      </w:pPr>
      <w:r>
        <w:rPr>
          <w:rStyle w:val="blodNormalText"/>
        </w:rPr>
        <w:t xml:space="preserve">COURSE ID: </w:t>
      </w:r>
      <w:r>
        <w:rPr>
          <w:rStyle w:val="rStyle"/>
        </w:rPr>
        <w:t xml:space="preserve">110003</w:t>
      </w:r>
    </w:p>
    <w:p>
      <w:pPr>
        <w:jc w:val="left"/>
      </w:pPr>
      <w:r>
        <w:rPr>
          <w:rStyle w:val="headding1"/>
        </w:rPr>
        <w:t xml:space="preserve">1. General information</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Course type</w:t>
            </w:r>
          </w:p>
        </w:tc>
        <w:tc>
          <w:tcPr>
            <w:tcW w:w="4000" w:type="dxa"/>
            <w:vAlign w:val="center"/>
            <w:shd w:val="clear" w:fill="14c447"/>
            <w:vMerge w:val="restart"/>
          </w:tcPr>
          <w:p>
            <w:pPr>
              <w:jc w:val="center"/>
            </w:pPr>
            <w:r>
              <w:rPr>
                <w:rStyle w:val="headding1"/>
              </w:rPr>
              <w:t xml:space="preserve">Number of credits </w:t>
            </w:r>
          </w:p>
        </w:tc>
        <w:tc>
          <w:tcPr>
            <w:tcW w:w="4000" w:type="dxa"/>
            <w:vAlign w:val="center"/>
            <w:shd w:val="clear" w:fill="14c447"/>
            <w:vMerge w:val="restart"/>
          </w:tcPr>
          <w:p>
            <w:pPr>
              <w:jc w:val="center"/>
            </w:pPr>
            <w:r>
              <w:rPr>
                <w:rStyle w:val="headding1"/>
              </w:rPr>
              <w:t xml:space="preserve">Number of learning periods</w:t>
            </w:r>
          </w:p>
        </w:tc>
      </w:tr>
      <w:tr>
        <w:trPr/>
        <w:tc>
          <w:tcPr>
            <w:tcW w:w="4000" w:type="dxa"/>
          </w:tcPr>
          <w:p>
            <w:pPr>
              <w:numPr>
                <w:ilvl w:val="0"/>
                <w:numId w:val="7"/>
              </w:numPr>
            </w:pPr>
            <w:r>
              <w:rPr>
                <w:rStyle w:val="normalText"/>
              </w:rPr>
              <w:t xml:space="preserve">General </w:t>
            </w:r>
          </w:p>
          <w:p>
            <w:pPr>
              <w:numPr>
                <w:ilvl w:val="0"/>
                <w:numId w:val="7"/>
              </w:numPr>
            </w:pPr>
            <w:r>
              <w:rPr>
                <w:rStyle w:val="normalText"/>
              </w:rPr>
              <w:t xml:space="preserve">Basic</w:t>
            </w:r>
          </w:p>
          <w:p>
            <w:pPr>
              <w:numPr>
                <w:ilvl w:val="0"/>
                <w:numId w:val="7"/>
              </w:numPr>
            </w:pPr>
            <w:r>
              <w:rPr>
                <w:rStyle w:val="normalText"/>
              </w:rPr>
              <w:t xml:space="preserve">Specialized</w:t>
            </w:r>
          </w:p>
        </w:tc>
        <w:tc>
          <w:tcPr>
            <w:tcW w:w="4000" w:type="dxa"/>
          </w:tcPr>
          <w:p>
            <w:pPr>
              <w:numPr>
                <w:ilvl w:val="0"/>
                <w:numId w:val="7"/>
              </w:numPr>
            </w:pPr>
            <w:r>
              <w:rPr>
                <w:rStyle w:val="normalText"/>
              </w:rPr>
              <w:t xml:space="preserve">Theory: 1</w:t>
            </w:r>
          </w:p>
          <w:p>
            <w:pPr>
              <w:numPr>
                <w:ilvl w:val="0"/>
                <w:numId w:val="7"/>
              </w:numPr>
            </w:pPr>
            <w:r>
              <w:rPr>
                <w:rStyle w:val="normalText"/>
              </w:rPr>
              <w:t xml:space="preserve">Exercise:</w:t>
            </w:r>
          </w:p>
          <w:p>
            <w:pPr>
              <w:numPr>
                <w:ilvl w:val="0"/>
                <w:numId w:val="7"/>
              </w:numPr>
            </w:pPr>
            <w:r>
              <w:rPr>
                <w:rStyle w:val="normalText"/>
              </w:rPr>
              <w:t xml:space="preserve">Practice: 1</w:t>
            </w:r>
          </w:p>
        </w:tc>
        <w:tc>
          <w:tcPr>
            <w:tcW w:w="4000" w:type="dxa"/>
          </w:tcPr>
          <w:p>
            <w:pPr>
              <w:numPr>
                <w:ilvl w:val="0"/>
                <w:numId w:val="7"/>
              </w:numPr>
            </w:pPr>
            <w:r>
              <w:rPr>
                <w:rStyle w:val="normalText"/>
              </w:rPr>
              <w:t xml:space="preserve">Theory: 15</w:t>
            </w:r>
          </w:p>
          <w:p>
            <w:pPr>
              <w:numPr>
                <w:ilvl w:val="0"/>
                <w:numId w:val="7"/>
              </w:numPr>
            </w:pPr>
            <w:r>
              <w:rPr>
                <w:rStyle w:val="normalText"/>
              </w:rPr>
              <w:t xml:space="preserve">Exercise:</w:t>
            </w:r>
          </w:p>
          <w:p>
            <w:pPr>
              <w:numPr>
                <w:ilvl w:val="0"/>
                <w:numId w:val="7"/>
              </w:numPr>
            </w:pPr>
            <w:r>
              <w:rPr>
                <w:rStyle w:val="normalText"/>
              </w:rPr>
              <w:t xml:space="preserve">Practice: 30</w:t>
            </w:r>
          </w:p>
        </w:tc>
      </w:tr>
    </w:tbl>
    <w:p>
      <w:pPr/>
      <w:r>
        <w:rPr>
          <w:rStyle w:val="headding1"/>
        </w:rPr>
        <w:t xml:space="preserve">Learners:     </w:t>
      </w:r>
      <w:r>
        <w:rPr>
          <w:rStyle w:val="normalText"/>
        </w:rPr>
        <w:t xml:space="preserve">  Level: Bachelor</w:t>
      </w:r>
    </w:p>
    <w:p>
      <w:pPr/>
      <w:r>
        <w:rPr>
          <w:rStyle w:val="normalText"/>
        </w:rPr>
        <w:t xml:space="preserve">Major:   ................ </w:t>
      </w:r>
    </w:p>
    <w:p>
      <w:pPr/>
      <w:r>
        <w:rPr>
          <w:rStyle w:val="normalText"/>
        </w:rPr>
        <w:t xml:space="preserve">Form of training:  ..............</w:t>
      </w:r>
    </w:p>
    <w:p>
      <w:pPr>
        <w:jc w:val="left"/>
      </w:pPr>
      <w:r>
        <w:rPr>
          <w:rStyle w:val="headding1"/>
        </w:rPr>
        <w:t xml:space="preserve">Course requirements</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Prerequisites</w:t>
            </w:r>
          </w:p>
        </w:tc>
        <w:tc>
          <w:tcPr>
            <w:tcW w:w="8000" w:type="dxa"/>
          </w:tcPr>
          <w:p>
            <w:pPr/>
            <w:r>
              <w:rPr>
                <w:rStyle w:val="normalText"/>
              </w:rPr>
              <w:t xml:space="preserve"/>
            </w:r>
          </w:p>
        </w:tc>
      </w:tr>
      <w:tr>
        <w:trPr/>
        <w:tc>
          <w:tcPr>
            <w:tcW w:w="4000" w:type="dxa"/>
          </w:tcPr>
          <w:p>
            <w:pPr/>
            <w:r>
              <w:rPr>
                <w:rStyle w:val="normalText"/>
              </w:rPr>
              <w:t xml:space="preserve">Prerequisites:</w:t>
            </w:r>
          </w:p>
        </w:tc>
        <w:tc>
          <w:tcPr>
            <w:tcW w:w="8000" w:type="dxa"/>
          </w:tcPr>
          <w:p/>
        </w:tc>
      </w:tr>
    </w:tbl>
    <w:p>
      <w:pPr>
        <w:jc w:val="left"/>
      </w:pPr>
      <w:r>
        <w:rPr>
          <w:rStyle w:val="headding1"/>
        </w:rPr>
        <w:t xml:space="preserve">2. Learning resources</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Prescribed textbooks</w:t>
            </w:r>
          </w:p>
        </w:tc>
        <w:tc>
          <w:tcPr>
            <w:tcW w:w="8000" w:type="dxa"/>
          </w:tcPr>
          <w:p>
            <w:pPr>
              <w:jc w:val="both"/>
            </w:pPr>
            <w:r>
              <w:rPr>
                <w:rFonts w:ascii="&quot;Times New Roman&quot;" w:hAnsi="&quot;Times New Roman&quot;" w:eastAsia="&quot;Times New Roman&quot;" w:cs="&quot;Times New Roman&quot;"/>
                <w:color w:val="black"/>
                <w:sz w:val="24"/>
                <w:szCs w:val="24"/>
              </w:rPr>
              <w:t xml:space="preserve">[1] Rosen, K. H., and Krithivasan, K. (2012). </w:t>
            </w:r>
            <w:r>
              <w:rPr>
                <w:rFonts w:ascii="&quot;Times New Roman&quot;" w:hAnsi="&quot;Times New Roman&quot;" w:eastAsia="&quot;Times New Roman&quot;" w:cs="&quot;Times New Roman&quot;"/>
                <w:color w:val="black"/>
                <w:sz w:val="24"/>
                <w:szCs w:val="24"/>
                <w:i w:val="1"/>
                <w:iCs w:val="1"/>
              </w:rPr>
              <w:t xml:space="preserve">Discrete mathematics and its applications: with combinatorics and graph theory</w:t>
            </w:r>
            <w:r>
              <w:rPr>
                <w:rFonts w:ascii="&quot;Times New Roman&quot;" w:hAnsi="&quot;Times New Roman&quot;" w:eastAsia="&quot;Times New Roman&quot;" w:cs="&quot;Times New Roman&quot;"/>
                <w:color w:val="black"/>
                <w:sz w:val="24"/>
                <w:szCs w:val="24"/>
              </w:rPr>
              <w:t xml:space="preserve">. Tata McGraw-Hill Education.</w:t>
            </w:r>
          </w:p>
          <w:p>
            <w:pPr/>
            <w:r>
              <w:rPr>
                <w:rFonts w:ascii="&quot;Times New Roman&quot;" w:hAnsi="&quot;Times New Roman&quot;" w:eastAsia="&quot;Times New Roman&quot;" w:cs="&quot;Times New Roman&quot;"/>
                <w:color w:val="black"/>
                <w:sz w:val="24"/>
                <w:szCs w:val="24"/>
              </w:rPr>
              <w:t xml:space="preserve">[2] Nguyễn Hữu Anh (1999). </w:t>
            </w:r>
            <w:r>
              <w:rPr>
                <w:rFonts w:ascii="&quot;Times New Roman&quot;" w:hAnsi="&quot;Times New Roman&quot;" w:eastAsia="&quot;Times New Roman&quot;" w:cs="&quot;Times New Roman&quot;"/>
                <w:color w:val="black"/>
                <w:sz w:val="24"/>
                <w:szCs w:val="24"/>
                <w:i w:val="1"/>
                <w:iCs w:val="1"/>
              </w:rPr>
              <w:t xml:space="preserve">Toán rời rạc</w:t>
            </w:r>
            <w:r>
              <w:rPr>
                <w:rFonts w:ascii="&quot;Times New Roman&quot;" w:hAnsi="&quot;Times New Roman&quot;" w:eastAsia="&quot;Times New Roman&quot;" w:cs="&quot;Times New Roman&quot;"/>
                <w:color w:val="black"/>
                <w:sz w:val="24"/>
                <w:szCs w:val="24"/>
              </w:rPr>
              <w:t xml:space="preserve">. NXB Giáo dục</w:t>
            </w:r>
          </w:p>
        </w:tc>
      </w:tr>
      <w:tr>
        <w:trPr/>
        <w:tc>
          <w:tcPr>
            <w:tcW w:w="4000" w:type="dxa"/>
          </w:tcPr>
          <w:p>
            <w:pPr/>
            <w:r>
              <w:rPr>
                <w:rStyle w:val="normalText"/>
              </w:rPr>
              <w:t xml:space="preserve">Recommended textbooks</w:t>
            </w:r>
          </w:p>
        </w:tc>
        <w:tc>
          <w:tcPr>
            <w:tcW w:w="8000" w:type="dxa"/>
          </w:tcPr>
          <w:p/>
        </w:tc>
      </w:tr>
      <w:tr>
        <w:trPr/>
        <w:tc>
          <w:tcPr>
            <w:tcW w:w="4000" w:type="dxa"/>
          </w:tcPr>
          <w:p>
            <w:pPr/>
            <w:r>
              <w:rPr>
                <w:rStyle w:val="normalText"/>
              </w:rPr>
              <w:t xml:space="preserve">Other learning materials </w:t>
            </w:r>
          </w:p>
        </w:tc>
        <w:tc>
          <w:tcPr>
            <w:tcW w:w="8000" w:type="dxa"/>
          </w:tcPr>
          <w:p>
            <w:pPr>
              <w:jc w:val="both"/>
            </w:pPr>
            <w:r>
              <w:rPr>
                <w:rFonts w:ascii="&quot;Times New Roman&quot;" w:hAnsi="&quot;Times New Roman&quot;" w:eastAsia="&quot;Times New Roman&quot;" w:cs="&quot;Times New Roman&quot;"/>
                <w:sz w:val="24"/>
                <w:szCs w:val="24"/>
              </w:rPr>
              <w:t xml:space="preserve">[3] Websites:</w:t>
            </w:r>
          </w:p>
          <w:p>
            <w:pPr>
              <w:numPr>
                <w:ilvl w:val="0"/>
                <w:numId w:val="8"/>
              </w:numPr>
            </w:pPr>
            <w:r>
              <w:rPr>
                <w:rFonts w:ascii="&quot;Times New Roman&quot;" w:hAnsi="&quot;Times New Roman&quot;" w:eastAsia="&quot;Times New Roman&quot;" w:cs="&quot;Times New Roman&quot;"/>
                <w:color w:val="black"/>
                <w:sz w:val="24"/>
                <w:szCs w:val="24"/>
              </w:rPr>
              <w:t xml:space="preserve">https://www.tutorialspoint.com/discrete_mathematics/index.htm</w:t>
            </w:r>
          </w:p>
          <w:p>
            <w:pPr>
              <w:numPr>
                <w:ilvl w:val="0"/>
                <w:numId w:val="8"/>
              </w:numPr>
            </w:pPr>
            <w:r>
              <w:rPr>
                <w:rFonts w:ascii="&quot;Times New Roman&quot;" w:hAnsi="&quot;Times New Roman&quot;" w:eastAsia="&quot;Times New Roman&quot;" w:cs="&quot;Times New Roman&quot;"/>
                <w:color w:val="black"/>
                <w:sz w:val="24"/>
                <w:szCs w:val="24"/>
              </w:rPr>
              <w:t xml:space="preserve">https://www.javatpoint.com/discrete-mathematics-tutorial</w:t>
            </w:r>
          </w:p>
        </w:tc>
      </w:tr>
    </w:tbl>
    <w:p>
      <w:pPr>
        <w:jc w:val="left"/>
      </w:pPr>
      <w:r>
        <w:rPr>
          <w:rStyle w:val="headding1"/>
        </w:rPr>
        <w:t xml:space="preserve">3. Course description</w:t>
      </w:r>
    </w:p>
    <w:p>
      <w:pPr>
        <w:jc w:val="both"/>
      </w:pPr>
      <w:r>
        <w:rPr>
          <w:rFonts w:ascii="&quot;Times New Roman&quot;" w:hAnsi="&quot;Times New Roman&quot;" w:eastAsia="&quot;Times New Roman&quot;" w:cs="&quot;Times New Roman&quot;"/>
          <w:sz w:val="24"/>
          <w:szCs w:val="24"/>
        </w:rPr>
        <w:t xml:space="preserve">The course provides students basic knowledge of applied mathematics in computer science. The course also aims to teach students skills in applying mathematics to real world problem in IT. Additionally, the course develops students’ appropriate awareness and attitudes of learning initiative and teamwork skills.</w:t>
      </w:r>
    </w:p>
    <w:p>
      <w:pPr/>
      <w:r>
        <w:rPr>
          <w:rStyle w:val="headding1"/>
        </w:rPr>
        <w:t xml:space="preserve">4. Course learning outcomes (CLOs):</w:t>
      </w:r>
    </w:p>
    <w:p>
      <w:pPr/>
      <w:r>
        <w:rPr>
          <w:rStyle w:val="normalText"/>
        </w:rPr>
        <w:t xml:space="preserve">After finishing the course, students will be able to:</w:t>
      </w:r>
    </w:p>
    <w:tbl>
      <w:tblGrid>
        <w:gridCol w:w="1000" w:type="dxa"/>
        <w:gridCol w:w="7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1000" w:type="dxa"/>
          </w:tcPr>
          <w:p/>
        </w:tc>
        <w:tc>
          <w:tcPr>
            <w:tcW w:w="7000" w:type="dxa"/>
          </w:tcPr>
          <w:p/>
        </w:tc>
        <w:tc>
          <w:tcPr>
            <w:tcW w:w="2000" w:type="dxa"/>
            <w:vAlign w:val="center"/>
            <w:shd w:val="clear" w:fill="14c447"/>
            <w:vMerge w:val="restart"/>
          </w:tcPr>
          <w:p>
            <w:pPr/>
            <w:r>
              <w:rPr/>
              <w:t xml:space="preserve">Satisfy LOs of the program</w:t>
            </w:r>
          </w:p>
        </w:tc>
        <w:tc>
          <w:tcPr>
            <w:tcW w:w="2000" w:type="dxa"/>
            <w:vAlign w:val="center"/>
            <w:shd w:val="clear" w:fill="14c447"/>
            <w:vMerge w:val="restart"/>
          </w:tcPr>
          <w:p>
            <w:pPr/>
            <w:r>
              <w:rPr/>
              <w:t xml:space="preserve">Satisfy LOs of the ABET</w:t>
            </w:r>
          </w:p>
        </w:tc>
      </w:tr>
      <w:tr>
        <w:trPr/>
        <w:tc>
          <w:tcPr>
            <w:tcW w:w="12000" w:type="dxa"/>
            <w:gridSpan w:val="4"/>
          </w:tcPr>
          <w:p>
            <w:pPr/>
            <w:r>
              <w:rPr>
                <w:rStyle w:val="blodNormalText"/>
              </w:rPr>
              <w:t xml:space="preserve">Topic 1: Specialized knowledge and technical reasoning</w:t>
            </w:r>
          </w:p>
        </w:tc>
      </w:tr>
      <w:tr>
        <w:trPr/>
        <w:tc>
          <w:tcPr>
            <w:tcW w:w="1000" w:type="dxa"/>
          </w:tcPr>
          <w:p>
            <w:pPr/>
            <w:r>
              <w:rPr>
                <w:rStyle w:val="normalText"/>
              </w:rPr>
              <w:t xml:space="preserve">L1</w:t>
            </w:r>
          </w:p>
        </w:tc>
        <w:tc>
          <w:tcPr>
            <w:tcW w:w="7000" w:type="dxa"/>
          </w:tcPr>
          <w:p>
            <w:pPr/>
            <w:r>
              <w:rPr>
                <w:rStyle w:val="normalText"/>
              </w:rPr>
              <w:t xml:space="preserve">Solve problems of propositional Logic, induction, and inference</w:t>
            </w:r>
          </w:p>
        </w:tc>
        <w:tc>
          <w:tcPr>
            <w:tcW w:w="2000" w:type="dxa"/>
          </w:tcPr>
          <w:p>
            <w:pPr/>
            <w:r>
              <w:rPr>
                <w:rStyle w:val="normalText"/>
              </w:rPr>
              <w:t xml:space="preserve">1.2.4</w:t>
            </w:r>
          </w:p>
        </w:tc>
        <w:tc>
          <w:tcPr>
            <w:tcW w:w="2000" w:type="dxa"/>
          </w:tcPr>
          <w:p>
            <w:pPr/>
            <w:r>
              <w:rPr>
                <w:rStyle w:val="normalText"/>
              </w:rPr>
              <w:t xml:space="preserve">B.1.2</w:t>
            </w:r>
          </w:p>
        </w:tc>
      </w:tr>
      <w:tr>
        <w:trPr/>
        <w:tc>
          <w:tcPr>
            <w:tcW w:w="1000" w:type="dxa"/>
          </w:tcPr>
          <w:p>
            <w:pPr/>
            <w:r>
              <w:rPr>
                <w:rStyle w:val="normalText"/>
              </w:rPr>
              <w:t xml:space="preserve">L2</w:t>
            </w:r>
          </w:p>
        </w:tc>
        <w:tc>
          <w:tcPr>
            <w:tcW w:w="7000" w:type="dxa"/>
          </w:tcPr>
          <w:p>
            <w:pPr/>
            <w:r>
              <w:rPr>
                <w:rStyle w:val="normalText"/>
              </w:rPr>
              <w:t xml:space="preserve">Utilize counting theory to solve counting problems</w:t>
            </w:r>
          </w:p>
        </w:tc>
        <w:tc>
          <w:tcPr>
            <w:tcW w:w="2000" w:type="dxa"/>
          </w:tcPr>
          <w:p>
            <w:pPr/>
            <w:r>
              <w:rPr>
                <w:rStyle w:val="normalText"/>
              </w:rPr>
              <w:t xml:space="preserve">1.2.4</w:t>
            </w:r>
          </w:p>
        </w:tc>
        <w:tc>
          <w:tcPr>
            <w:tcW w:w="2000" w:type="dxa"/>
          </w:tcPr>
          <w:p>
            <w:pPr/>
            <w:r>
              <w:rPr>
                <w:rStyle w:val="normalText"/>
              </w:rPr>
              <w:t xml:space="preserve">B.1.2</w:t>
            </w:r>
          </w:p>
        </w:tc>
      </w:tr>
      <w:tr>
        <w:trPr/>
        <w:tc>
          <w:tcPr>
            <w:tcW w:w="1000" w:type="dxa"/>
          </w:tcPr>
          <w:p>
            <w:pPr/>
            <w:r>
              <w:rPr>
                <w:rStyle w:val="normalText"/>
              </w:rPr>
              <w:t xml:space="preserve">L3</w:t>
            </w:r>
          </w:p>
        </w:tc>
        <w:tc>
          <w:tcPr>
            <w:tcW w:w="7000" w:type="dxa"/>
          </w:tcPr>
          <w:p>
            <w:pPr/>
            <w:r>
              <w:rPr>
                <w:rStyle w:val="normalText"/>
              </w:rPr>
              <w:t xml:space="preserve">Identify properties of relations:  equivalence relations, order relations</w:t>
            </w:r>
          </w:p>
        </w:tc>
        <w:tc>
          <w:tcPr>
            <w:tcW w:w="2000" w:type="dxa"/>
          </w:tcPr>
          <w:p>
            <w:pPr/>
            <w:r>
              <w:rPr>
                <w:rStyle w:val="normalText"/>
              </w:rPr>
              <w:t xml:space="preserve">1.2.4</w:t>
            </w:r>
          </w:p>
        </w:tc>
        <w:tc>
          <w:tcPr>
            <w:tcW w:w="2000" w:type="dxa"/>
          </w:tcPr>
          <w:p>
            <w:pPr/>
            <w:r>
              <w:rPr>
                <w:rStyle w:val="normalText"/>
              </w:rPr>
              <w:t xml:space="preserve">B.1.2</w:t>
            </w:r>
          </w:p>
        </w:tc>
      </w:tr>
      <w:tr>
        <w:trPr/>
        <w:tc>
          <w:tcPr>
            <w:tcW w:w="1000" w:type="dxa"/>
          </w:tcPr>
          <w:p>
            <w:pPr/>
            <w:r>
              <w:rPr>
                <w:rStyle w:val="normalText"/>
              </w:rPr>
              <w:t xml:space="preserve">L4</w:t>
            </w:r>
          </w:p>
        </w:tc>
        <w:tc>
          <w:tcPr>
            <w:tcW w:w="7000" w:type="dxa"/>
          </w:tcPr>
          <w:p>
            <w:pPr/>
            <w:r>
              <w:rPr>
                <w:rStyle w:val="normalText"/>
              </w:rPr>
              <w:t xml:space="preserve">Draw Hasse diagrams</w:t>
            </w:r>
          </w:p>
        </w:tc>
        <w:tc>
          <w:tcPr>
            <w:tcW w:w="2000" w:type="dxa"/>
          </w:tcPr>
          <w:p>
            <w:pPr/>
            <w:r>
              <w:rPr>
                <w:rStyle w:val="normalText"/>
              </w:rPr>
              <w:t xml:space="preserve">1.2.4</w:t>
            </w:r>
          </w:p>
        </w:tc>
        <w:tc>
          <w:tcPr>
            <w:tcW w:w="2000" w:type="dxa"/>
          </w:tcPr>
          <w:p>
            <w:pPr/>
            <w:r>
              <w:rPr>
                <w:rStyle w:val="normalText"/>
              </w:rPr>
              <w:t xml:space="preserve">B.1.2</w:t>
            </w:r>
          </w:p>
        </w:tc>
      </w:tr>
      <w:tr>
        <w:trPr/>
        <w:tc>
          <w:tcPr>
            <w:tcW w:w="1000" w:type="dxa"/>
          </w:tcPr>
          <w:p>
            <w:pPr/>
            <w:r>
              <w:rPr>
                <w:rStyle w:val="normalText"/>
              </w:rPr>
              <w:t xml:space="preserve">L5</w:t>
            </w:r>
          </w:p>
        </w:tc>
        <w:tc>
          <w:tcPr>
            <w:tcW w:w="7000" w:type="dxa"/>
          </w:tcPr>
          <w:p>
            <w:pPr/>
            <w:r>
              <w:rPr>
                <w:rStyle w:val="normalText"/>
              </w:rPr>
              <w:t xml:space="preserve">Utilize Karnaugh Maps to minimize Boolean</w:t>
            </w:r>
          </w:p>
        </w:tc>
        <w:tc>
          <w:tcPr>
            <w:tcW w:w="2000" w:type="dxa"/>
          </w:tcPr>
          <w:p>
            <w:pPr/>
            <w:r>
              <w:rPr>
                <w:rStyle w:val="normalText"/>
              </w:rPr>
              <w:t xml:space="preserve">1.2.4</w:t>
            </w:r>
          </w:p>
        </w:tc>
        <w:tc>
          <w:tcPr>
            <w:tcW w:w="2000" w:type="dxa"/>
          </w:tcPr>
          <w:p>
            <w:pPr/>
            <w:r>
              <w:rPr>
                <w:rStyle w:val="normalText"/>
              </w:rPr>
              <w:t xml:space="preserve">B.1.2</w:t>
            </w:r>
          </w:p>
        </w:tc>
      </w:tr>
      <w:tr>
        <w:trPr/>
        <w:tc>
          <w:tcPr>
            <w:tcW w:w="12000" w:type="dxa"/>
            <w:gridSpan w:val="4"/>
          </w:tcPr>
          <w:p>
            <w:pPr/>
            <w:r>
              <w:rPr>
                <w:rStyle w:val="blodNormalText"/>
              </w:rPr>
              <w:t xml:space="preserve">Topic 2: Personal, professional skills and attributes</w:t>
            </w:r>
          </w:p>
        </w:tc>
      </w:tr>
      <w:tr>
        <w:trPr/>
        <w:tc>
          <w:tcPr>
            <w:tcW w:w="1000" w:type="dxa"/>
          </w:tcPr>
          <w:p>
            <w:pPr/>
            <w:r>
              <w:rPr>
                <w:rStyle w:val="normalText"/>
              </w:rPr>
              <w:t xml:space="preserve">L6</w:t>
            </w:r>
          </w:p>
        </w:tc>
        <w:tc>
          <w:tcPr>
            <w:tcW w:w="7000" w:type="dxa"/>
          </w:tcPr>
          <w:p>
            <w:pPr/>
            <w:r>
              <w:rPr>
                <w:rStyle w:val="normalText"/>
              </w:rPr>
              <w:t xml:space="preserve">Problem identification and formulation</w:t>
            </w:r>
          </w:p>
        </w:tc>
        <w:tc>
          <w:tcPr>
            <w:tcW w:w="2000" w:type="dxa"/>
          </w:tcPr>
          <w:p>
            <w:pPr/>
            <w:r>
              <w:rPr>
                <w:rStyle w:val="normalText"/>
              </w:rPr>
              <w:t xml:space="preserve">2.1.1</w:t>
            </w:r>
          </w:p>
        </w:tc>
        <w:tc>
          <w:tcPr>
            <w:tcW w:w="2000" w:type="dxa"/>
          </w:tcPr>
          <w:p>
            <w:pPr/>
            <w:r>
              <w:rPr>
                <w:rStyle w:val="normalText"/>
              </w:rPr>
              <w:t xml:space="preserve">B.1.1</w:t>
            </w:r>
          </w:p>
        </w:tc>
      </w:tr>
      <w:tr>
        <w:trPr/>
        <w:tc>
          <w:tcPr>
            <w:tcW w:w="1000" w:type="dxa"/>
          </w:tcPr>
          <w:p>
            <w:pPr/>
            <w:r>
              <w:rPr>
                <w:rStyle w:val="normalText"/>
              </w:rPr>
              <w:t xml:space="preserve">L7</w:t>
            </w:r>
          </w:p>
        </w:tc>
        <w:tc>
          <w:tcPr>
            <w:tcW w:w="7000" w:type="dxa"/>
          </w:tcPr>
          <w:p>
            <w:pPr/>
            <w:r>
              <w:rPr>
                <w:rStyle w:val="normalText"/>
              </w:rPr>
              <w:t xml:space="preserve">Reasoning and solutions</w:t>
            </w:r>
          </w:p>
        </w:tc>
        <w:tc>
          <w:tcPr>
            <w:tcW w:w="2000" w:type="dxa"/>
          </w:tcPr>
          <w:p>
            <w:pPr/>
            <w:r>
              <w:rPr>
                <w:rStyle w:val="normalText"/>
              </w:rPr>
              <w:t xml:space="preserve">2.1.3</w:t>
            </w:r>
          </w:p>
        </w:tc>
        <w:tc>
          <w:tcPr>
            <w:tcW w:w="2000" w:type="dxa"/>
          </w:tcPr>
          <w:p>
            <w:pPr/>
            <w:r>
              <w:rPr>
                <w:rStyle w:val="normalText"/>
              </w:rPr>
              <w:t xml:space="preserve">B.1.2</w:t>
            </w:r>
          </w:p>
        </w:tc>
      </w:tr>
      <w:tr>
        <w:trPr/>
        <w:tc>
          <w:tcPr>
            <w:tcW w:w="12000" w:type="dxa"/>
            <w:gridSpan w:val="4"/>
          </w:tcPr>
          <w:p>
            <w:pPr/>
            <w:r>
              <w:rPr>
                <w:rStyle w:val="blodNormalText"/>
              </w:rPr>
              <w:t xml:space="preserve">Topic 3: Teamwork and communication skills</w:t>
            </w:r>
          </w:p>
        </w:tc>
      </w:tr>
      <w:tr>
        <w:trPr/>
        <w:tc>
          <w:tcPr>
            <w:tcW w:w="1000" w:type="dxa"/>
          </w:tcPr>
          <w:p>
            <w:pPr/>
            <w:r>
              <w:rPr>
                <w:rStyle w:val="normalText"/>
              </w:rPr>
              <w:t xml:space="preserve">L8</w:t>
            </w:r>
          </w:p>
        </w:tc>
        <w:tc>
          <w:tcPr>
            <w:tcW w:w="7000" w:type="dxa"/>
          </w:tcPr>
          <w:p>
            <w:pPr/>
            <w:r>
              <w:rPr>
                <w:rStyle w:val="normalText"/>
              </w:rPr>
              <w:t xml:space="preserve">Teamwork techniques</w:t>
            </w:r>
          </w:p>
        </w:tc>
        <w:tc>
          <w:tcPr>
            <w:tcW w:w="2000" w:type="dxa"/>
          </w:tcPr>
          <w:p>
            <w:pPr/>
            <w:r>
              <w:rPr>
                <w:rStyle w:val="normalText"/>
              </w:rPr>
              <w:t xml:space="preserve">3.1.5</w:t>
            </w:r>
          </w:p>
        </w:tc>
        <w:tc>
          <w:tcPr>
            <w:tcW w:w="2000" w:type="dxa"/>
          </w:tcPr>
          <w:p>
            <w:pPr/>
            <w:r>
              <w:rPr>
                <w:rStyle w:val="normalText"/>
              </w:rPr>
              <w:t xml:space="preserve">B.1.5</w:t>
            </w:r>
          </w:p>
        </w:tc>
      </w:tr>
      <w:tr>
        <w:trPr/>
        <w:tc>
          <w:tcPr>
            <w:tcW w:w="12000" w:type="dxa"/>
            <w:gridSpan w:val="4"/>
          </w:tcPr>
          <w:p>
            <w:pPr/>
            <w:r>
              <w:rPr>
                <w:rStyle w:val="blodNormalText"/>
              </w:rPr>
              <w:t xml:space="preserve">Topic 4: Conceiving, designing, implementing and operating systems in professional and societal context</w:t>
            </w:r>
          </w:p>
        </w:tc>
      </w:tr>
    </w:tbl>
    <w:p>
      <w:pPr/>
      <w:r>
        <w:rPr>
          <w:rStyle w:val="headding1"/>
        </w:rPr>
        <w:t xml:space="preserve">5. Course content:</w:t>
      </w:r>
    </w:p>
    <w:tbl>
      <w:tblGrid>
        <w:gridCol/>
        <w:gridCol/>
        <w:gridCol w:w="1000" w:type="dxa"/>
        <w:gridCol w:w="1000" w:type="dxa"/>
        <w:gridCol w:w="1000" w:type="dxa"/>
      </w:tblGrid>
      <w:tblPr>
        <w:tblStyle w:val="Colspan Rowspan"/>
      </w:tblPr>
      <w:tr>
        <w:trPr/>
        <w:tc>
          <w:tcPr>
            <w:tcW w:w="7000" w:type="dxa"/>
            <w:vAlign w:val="center"/>
            <w:shd w:val="clear" w:fill="14c447"/>
            <w:vMerge w:val="restart"/>
          </w:tcPr>
          <w:p>
            <w:pPr>
              <w:jc w:val="center"/>
            </w:pPr>
            <w:r>
              <w:rPr/>
              <w:t xml:space="preserve">Course content</w:t>
            </w:r>
          </w:p>
        </w:tc>
        <w:tc>
          <w:tcPr>
            <w:tcW w:w="2000" w:type="dxa"/>
            <w:vAlign w:val="center"/>
            <w:shd w:val="clear" w:fill="14c447"/>
            <w:vMerge w:val="restart"/>
          </w:tcPr>
          <w:p>
            <w:pPr>
              <w:jc w:val="center"/>
            </w:pPr>
            <w:r>
              <w:rPr/>
              <w:t xml:space="preserve">CLOs</w:t>
            </w:r>
          </w:p>
        </w:tc>
        <w:tc>
          <w:tcPr>
            <w:tcW w:w="3000" w:type="dxa"/>
            <w:vAlign w:val="center"/>
            <w:shd w:val="clear" w:fill="14c447"/>
            <w:gridSpan w:val="3"/>
            <w:vMerge w:val="restart"/>
          </w:tcPr>
          <w:p>
            <w:pPr>
              <w:jc w:val="center"/>
            </w:pPr>
            <w:r>
              <w:rPr/>
              <w:t xml:space="preserve">Number of learning periods</w:t>
            </w:r>
          </w:p>
        </w:tc>
      </w:tr>
      <w:tr>
        <w:trPr/>
        <w:tc>
          <w:tcPr>
            <w:vMerge w:val="continue"/>
          </w:tcPr>
          <w:p/>
        </w:tc>
        <w:tc>
          <w:tcPr>
            <w:vMerge w:val="continue"/>
          </w:tcPr>
          <w:p/>
        </w:tc>
        <w:tc>
          <w:tcPr>
            <w:tcW w:w="1000" w:type="dxa"/>
            <w:vAlign w:val="center"/>
          </w:tcPr>
          <w:p>
            <w:pPr>
              <w:jc w:val="center"/>
            </w:pPr>
            <w:r>
              <w:rPr/>
              <w:t xml:space="preserve">Theory</w:t>
            </w:r>
          </w:p>
        </w:tc>
        <w:tc>
          <w:tcPr>
            <w:tcW w:w="1000" w:type="dxa"/>
            <w:vAlign w:val="center"/>
          </w:tcPr>
          <w:p>
            <w:pPr>
              <w:jc w:val="center"/>
            </w:pPr>
            <w:r>
              <w:rPr/>
              <w:t xml:space="preserve">Practice</w:t>
            </w:r>
          </w:p>
        </w:tc>
        <w:tc>
          <w:tcPr>
            <w:tcW w:w="1000" w:type="dxa"/>
            <w:vAlign w:val="center"/>
          </w:tcPr>
          <w:p>
            <w:pPr>
              <w:jc w:val="center"/>
            </w:pPr>
            <w:r>
              <w:rPr/>
              <w:t xml:space="preserve">Others</w:t>
            </w:r>
          </w:p>
        </w:tc>
      </w:tr>
      <w:tr>
        <w:trPr/>
        <w:tc>
          <w:tcPr>
            <w:tcW w:w="7000" w:type="dxa"/>
          </w:tcPr>
          <w:p>
            <w:pPr/>
            <w:r>
              <w:rPr>
                <w:rStyle w:val="blodNormalText"/>
              </w:rPr>
              <w:t xml:space="preserve">Chapter 1. Logic</w:t>
            </w:r>
          </w:p>
        </w:tc>
        <w:tc>
          <w:tcPr>
            <w:tcW w:w="2000" w:type="dxa"/>
          </w:tcPr>
          <w:p>
            <w:pPr/>
            <w:r>
              <w:rPr>
                <w:rStyle w:val="blodNormalText"/>
              </w:rPr>
              <w:t xml:space="preserve">L1; </w:t>
            </w:r>
          </w:p>
        </w:tc>
        <w:tc>
          <w:tcPr>
            <w:tcW w:w="1000" w:type="dxa"/>
          </w:tcPr>
          <w:p>
            <w:pPr/>
            <w:r>
              <w:rPr>
                <w:rStyle w:val="blodNormalText"/>
              </w:rPr>
              <w:t xml:space="preserve">3</w:t>
            </w:r>
          </w:p>
        </w:tc>
        <w:tc>
          <w:tcPr>
            <w:tcW w:w="1000" w:type="dxa"/>
          </w:tcPr>
          <w:p>
            <w:pPr/>
            <w:r>
              <w:rPr>
                <w:rStyle w:val="blodNormalText"/>
              </w:rPr>
              <w:t xml:space="preserve">7</w:t>
            </w:r>
          </w:p>
        </w:tc>
        <w:tc>
          <w:tcPr>
            <w:tcW w:w="1000" w:type="dxa"/>
          </w:tcPr>
          <w:p>
            <w:pPr/>
            <w:r>
              <w:rPr>
                <w:rStyle w:val="blodNormalText"/>
              </w:rPr>
              <w:t xml:space="preserve"/>
            </w:r>
          </w:p>
        </w:tc>
      </w:tr>
      <w:tr>
        <w:trPr/>
        <w:tc>
          <w:tcPr>
            <w:tcW w:w="7000" w:type="dxa"/>
          </w:tcPr>
          <w:p>
            <w:pPr/>
            <w:r>
              <w:rPr>
                <w:rStyle w:val="normalText"/>
              </w:rPr>
              <w:t xml:space="preserve">1.1 Propositional Logic</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1.2 Predicates, quantifiers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1.3 Mathematical reasoning</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1.4 Principle of Induction</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L6(I); </w:t>
            </w:r>
          </w:p>
          <w:p>
            <w:pPr/>
            <w:r>
              <w:rPr>
                <w:rStyle w:val="normalText"/>
              </w:rPr>
              <w:t xml:space="preserve">L7(U);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L8(U);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r>
        <w:trPr/>
        <w:tc>
          <w:tcPr>
            <w:tcW w:w="7000" w:type="dxa"/>
          </w:tcPr>
          <w:p>
            <w:pPr/>
            <w:r>
              <w:rPr>
                <w:rStyle w:val="blodNormalText"/>
              </w:rPr>
              <w:t xml:space="preserve">Chapter 2. Counting Theory</w:t>
            </w:r>
          </w:p>
        </w:tc>
        <w:tc>
          <w:tcPr>
            <w:tcW w:w="2000" w:type="dxa"/>
          </w:tcPr>
          <w:p>
            <w:pPr/>
            <w:r>
              <w:rPr>
                <w:rStyle w:val="blodNormalText"/>
              </w:rPr>
              <w:t xml:space="preserve">L2; </w:t>
            </w:r>
          </w:p>
        </w:tc>
        <w:tc>
          <w:tcPr>
            <w:tcW w:w="1000" w:type="dxa"/>
          </w:tcPr>
          <w:p>
            <w:pPr/>
            <w:r>
              <w:rPr>
                <w:rStyle w:val="blodNormalText"/>
              </w:rPr>
              <w:t xml:space="preserve">2</w:t>
            </w:r>
          </w:p>
        </w:tc>
        <w:tc>
          <w:tcPr>
            <w:tcW w:w="1000" w:type="dxa"/>
          </w:tcPr>
          <w:p>
            <w:pPr/>
            <w:r>
              <w:rPr>
                <w:rStyle w:val="blodNormalText"/>
              </w:rPr>
              <w:t xml:space="preserve">10</w:t>
            </w:r>
          </w:p>
        </w:tc>
        <w:tc>
          <w:tcPr>
            <w:tcW w:w="1000" w:type="dxa"/>
          </w:tcPr>
          <w:p>
            <w:pPr/>
            <w:r>
              <w:rPr>
                <w:rStyle w:val="blodNormalText"/>
              </w:rPr>
              <w:t xml:space="preserve"/>
            </w:r>
          </w:p>
        </w:tc>
      </w:tr>
      <w:tr>
        <w:trPr/>
        <w:tc>
          <w:tcPr>
            <w:tcW w:w="7000" w:type="dxa"/>
          </w:tcPr>
          <w:p>
            <w:pPr/>
            <w:r>
              <w:rPr>
                <w:rStyle w:val="normalText"/>
              </w:rPr>
              <w:t xml:space="preserve">2.1 Sets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2.2 Mapping</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2.3 Counting Theory</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L5(I); </w:t>
            </w:r>
          </w:p>
          <w:p>
            <w:pPr/>
            <w:r>
              <w:rPr>
                <w:rStyle w:val="normalText"/>
              </w:rPr>
              <w:t xml:space="preserve">L7(U);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L8(U);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r>
        <w:trPr/>
        <w:tc>
          <w:tcPr>
            <w:tcW w:w="7000" w:type="dxa"/>
          </w:tcPr>
          <w:p>
            <w:pPr/>
            <w:r>
              <w:rPr>
                <w:rStyle w:val="blodNormalText"/>
              </w:rPr>
              <w:t xml:space="preserve">Chapter 3. Relations</w:t>
            </w:r>
          </w:p>
        </w:tc>
        <w:tc>
          <w:tcPr>
            <w:tcW w:w="2000" w:type="dxa"/>
          </w:tcPr>
          <w:p>
            <w:pPr/>
            <w:r>
              <w:rPr>
                <w:rStyle w:val="blodNormalText"/>
              </w:rPr>
              <w:t xml:space="preserve">L3; L4; </w:t>
            </w:r>
          </w:p>
        </w:tc>
        <w:tc>
          <w:tcPr>
            <w:tcW w:w="1000" w:type="dxa"/>
          </w:tcPr>
          <w:p>
            <w:pPr/>
            <w:r>
              <w:rPr>
                <w:rStyle w:val="blodNormalText"/>
              </w:rPr>
              <w:t xml:space="preserve">3</w:t>
            </w:r>
          </w:p>
        </w:tc>
        <w:tc>
          <w:tcPr>
            <w:tcW w:w="1000" w:type="dxa"/>
          </w:tcPr>
          <w:p>
            <w:pPr/>
            <w:r>
              <w:rPr>
                <w:rStyle w:val="blodNormalText"/>
              </w:rPr>
              <w:t xml:space="preserve">8</w:t>
            </w:r>
          </w:p>
        </w:tc>
        <w:tc>
          <w:tcPr>
            <w:tcW w:w="1000" w:type="dxa"/>
          </w:tcPr>
          <w:p>
            <w:pPr/>
            <w:r>
              <w:rPr>
                <w:rStyle w:val="blodNormalText"/>
              </w:rPr>
              <w:t xml:space="preserve"/>
            </w:r>
          </w:p>
        </w:tc>
      </w:tr>
      <w:tr>
        <w:trPr/>
        <w:tc>
          <w:tcPr>
            <w:tcW w:w="7000" w:type="dxa"/>
          </w:tcPr>
          <w:p>
            <w:pPr/>
            <w:r>
              <w:rPr>
                <w:rStyle w:val="normalText"/>
              </w:rPr>
              <w:t xml:space="preserve">3.1 Relations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3.2. Equivalence Relation</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3.3 Order Relation</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L6(I); </w:t>
            </w:r>
          </w:p>
          <w:p>
            <w:pPr/>
            <w:r>
              <w:rPr>
                <w:rStyle w:val="normalText"/>
              </w:rPr>
              <w:t xml:space="preserve">L7(U);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L8(U);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r>
        <w:trPr/>
        <w:tc>
          <w:tcPr>
            <w:tcW w:w="7000" w:type="dxa"/>
          </w:tcPr>
          <w:p>
            <w:pPr/>
            <w:r>
              <w:rPr>
                <w:rStyle w:val="blodNormalText"/>
              </w:rPr>
              <w:t xml:space="preserve">Chapter 4. Boolean algebra</w:t>
            </w:r>
          </w:p>
        </w:tc>
        <w:tc>
          <w:tcPr>
            <w:tcW w:w="2000" w:type="dxa"/>
          </w:tcPr>
          <w:p>
            <w:pPr/>
            <w:r>
              <w:rPr>
                <w:rStyle w:val="blodNormalText"/>
              </w:rPr>
              <w:t xml:space="preserve">L5; </w:t>
            </w:r>
          </w:p>
        </w:tc>
        <w:tc>
          <w:tcPr>
            <w:tcW w:w="1000" w:type="dxa"/>
          </w:tcPr>
          <w:p>
            <w:pPr/>
            <w:r>
              <w:rPr>
                <w:rStyle w:val="blodNormalText"/>
              </w:rPr>
              <w:t xml:space="preserve">5</w:t>
            </w:r>
          </w:p>
        </w:tc>
        <w:tc>
          <w:tcPr>
            <w:tcW w:w="1000" w:type="dxa"/>
          </w:tcPr>
          <w:p>
            <w:pPr/>
            <w:r>
              <w:rPr>
                <w:rStyle w:val="blodNormalText"/>
              </w:rPr>
              <w:t xml:space="preserve">5</w:t>
            </w:r>
          </w:p>
        </w:tc>
        <w:tc>
          <w:tcPr>
            <w:tcW w:w="1000" w:type="dxa"/>
          </w:tcPr>
          <w:p>
            <w:pPr/>
            <w:r>
              <w:rPr>
                <w:rStyle w:val="blodNormalText"/>
              </w:rPr>
              <w:t xml:space="preserve"/>
            </w:r>
          </w:p>
        </w:tc>
      </w:tr>
      <w:tr>
        <w:trPr/>
        <w:tc>
          <w:tcPr>
            <w:tcW w:w="7000" w:type="dxa"/>
          </w:tcPr>
          <w:p>
            <w:pPr/>
            <w:r>
              <w:rPr>
                <w:rStyle w:val="normalText"/>
              </w:rPr>
              <w:t xml:space="preserve">4.1. Boolean Algebra</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4.2 Boolean Function</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4.3 Logic Gate Networks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4.4 Minimization of Boolean Functions using Karnaugh Maps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pPr/>
            <w:r>
              <w:rPr>
                <w:rStyle w:val="normalText"/>
              </w:rPr>
              <w:t xml:space="preserve">L7(U); </w:t>
            </w: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L6(I);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L8(U);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bl>
    <w:p>
      <w:pPr/>
      <w:r>
        <w:rPr>
          <w:rStyle w:val="headding1"/>
        </w:rPr>
        <w:t xml:space="preserve">6. Teaching and learning method:</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ID</w:t>
            </w:r>
          </w:p>
        </w:tc>
        <w:tc>
          <w:tcPr>
            <w:tcW w:w="4000" w:type="dxa"/>
            <w:vAlign w:val="center"/>
            <w:shd w:val="clear" w:fill="14c447"/>
            <w:vMerge w:val="restart"/>
          </w:tcPr>
          <w:p>
            <w:pPr>
              <w:jc w:val="center"/>
            </w:pPr>
            <w:r>
              <w:rPr>
                <w:rStyle w:val="headding1"/>
              </w:rPr>
              <w:t xml:space="preserve">Teaching and learning method</w:t>
            </w:r>
          </w:p>
        </w:tc>
        <w:tc>
          <w:tcPr>
            <w:tcW w:w="4000" w:type="dxa"/>
            <w:vAlign w:val="center"/>
            <w:shd w:val="clear" w:fill="14c447"/>
            <w:vMerge w:val="restart"/>
          </w:tcPr>
          <w:p>
            <w:pPr>
              <w:jc w:val="center"/>
            </w:pPr>
            <w:r>
              <w:rPr>
                <w:rStyle w:val="headding1"/>
              </w:rPr>
              <w:t xml:space="preserve">Description</w:t>
            </w:r>
          </w:p>
        </w:tc>
      </w:tr>
      <w:tr>
        <w:trPr/>
        <w:tc>
          <w:tcPr>
            <w:tcW w:w="4000" w:type="dxa"/>
          </w:tcPr>
          <w:p>
            <w:pPr>
              <w:jc w:val="center"/>
            </w:pPr>
            <w:r>
              <w:rPr/>
              <w:t xml:space="preserve">1</w:t>
            </w:r>
          </w:p>
        </w:tc>
        <w:tc>
          <w:tcPr>
            <w:tcW w:w="4000" w:type="dxa"/>
          </w:tcPr>
          <w:p>
            <w:pPr>
              <w:jc w:val="center"/>
            </w:pPr>
            <w:r>
              <w:rPr/>
              <w:t xml:space="preserve">Lecturing</w:t>
            </w:r>
          </w:p>
        </w:tc>
        <w:tc>
          <w:tcPr>
            <w:tcW w:w="4000" w:type="dxa"/>
          </w:tcPr>
          <w:p>
            <w:pPr>
              <w:jc w:val="center"/>
            </w:pPr>
            <w:r>
              <w:rPr/>
              <w:t xml:space="preserve"/>
            </w:r>
          </w:p>
        </w:tc>
      </w:tr>
      <w:tr>
        <w:trPr/>
        <w:tc>
          <w:tcPr>
            <w:tcW w:w="4000" w:type="dxa"/>
          </w:tcPr>
          <w:p>
            <w:pPr>
              <w:jc w:val="center"/>
            </w:pPr>
            <w:r>
              <w:rPr/>
              <w:t xml:space="preserve">2</w:t>
            </w:r>
          </w:p>
        </w:tc>
        <w:tc>
          <w:tcPr>
            <w:tcW w:w="4000" w:type="dxa"/>
          </w:tcPr>
          <w:p>
            <w:pPr>
              <w:jc w:val="center"/>
            </w:pPr>
            <w:r>
              <w:rPr/>
              <w:t xml:space="preserve">Group-based Learning</w:t>
            </w:r>
          </w:p>
        </w:tc>
        <w:tc>
          <w:tcPr>
            <w:tcW w:w="4000" w:type="dxa"/>
          </w:tcPr>
          <w:p>
            <w:pPr>
              <w:jc w:val="center"/>
            </w:pPr>
            <w:r>
              <w:rPr/>
              <w:t xml:space="preserve"/>
            </w:r>
          </w:p>
        </w:tc>
      </w:tr>
      <w:tr>
        <w:trPr/>
        <w:tc>
          <w:tcPr>
            <w:tcW w:w="4000" w:type="dxa"/>
          </w:tcPr>
          <w:p>
            <w:pPr>
              <w:jc w:val="center"/>
            </w:pPr>
            <w:r>
              <w:rPr/>
              <w:t xml:space="preserve">3</w:t>
            </w:r>
          </w:p>
        </w:tc>
        <w:tc>
          <w:tcPr>
            <w:tcW w:w="4000" w:type="dxa"/>
          </w:tcPr>
          <w:p>
            <w:pPr>
              <w:jc w:val="center"/>
            </w:pPr>
            <w:r>
              <w:rPr/>
              <w:t xml:space="preserve">Problem-based Learning</w:t>
            </w:r>
          </w:p>
        </w:tc>
        <w:tc>
          <w:tcPr>
            <w:tcW w:w="4000" w:type="dxa"/>
          </w:tcPr>
          <w:p>
            <w:pPr>
              <w:jc w:val="center"/>
            </w:pPr>
            <w:r>
              <w:rPr/>
              <w:t xml:space="preserve"/>
            </w:r>
          </w:p>
        </w:tc>
      </w:tr>
      <w:tr>
        <w:trPr/>
        <w:tc>
          <w:tcPr>
            <w:tcW w:w="4000" w:type="dxa"/>
          </w:tcPr>
          <w:p>
            <w:pPr>
              <w:jc w:val="center"/>
            </w:pPr>
            <w:r>
              <w:rPr/>
              <w:t xml:space="preserve">4</w:t>
            </w:r>
          </w:p>
        </w:tc>
        <w:tc>
          <w:tcPr>
            <w:tcW w:w="4000" w:type="dxa"/>
          </w:tcPr>
          <w:p>
            <w:pPr>
              <w:jc w:val="center"/>
            </w:pPr>
            <w:r>
              <w:rPr/>
              <w:t xml:space="preserve">Demo</w:t>
            </w:r>
          </w:p>
        </w:tc>
        <w:tc>
          <w:tcPr>
            <w:tcW w:w="4000" w:type="dxa"/>
          </w:tcPr>
          <w:p>
            <w:pPr>
              <w:jc w:val="center"/>
            </w:pPr>
            <w:r>
              <w:rPr/>
              <w:t xml:space="preserve"/>
            </w:r>
          </w:p>
        </w:tc>
      </w:tr>
    </w:tbl>
    <w:p>
      <w:pPr/>
      <w:r>
        <w:rPr>
          <w:rStyle w:val="headding1"/>
        </w:rPr>
        <w:t xml:space="preserve">7. Course assessment:</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ID</w:t>
            </w:r>
          </w:p>
        </w:tc>
        <w:tc>
          <w:tcPr>
            <w:tcW w:w="4000" w:type="dxa"/>
            <w:vAlign w:val="center"/>
            <w:shd w:val="clear" w:fill="14c447"/>
            <w:vMerge w:val="restart"/>
          </w:tcPr>
          <w:p>
            <w:pPr>
              <w:jc w:val="center"/>
            </w:pPr>
            <w:r>
              <w:rPr>
                <w:rStyle w:val="headding1"/>
              </w:rPr>
              <w:t xml:space="preserve">Assessment activity</w:t>
            </w:r>
          </w:p>
        </w:tc>
        <w:tc>
          <w:tcPr>
            <w:tcW w:w="4000" w:type="dxa"/>
            <w:vAlign w:val="center"/>
            <w:shd w:val="clear" w:fill="14c447"/>
            <w:vMerge w:val="restart"/>
          </w:tcPr>
          <w:p>
            <w:pPr>
              <w:jc w:val="center"/>
            </w:pPr>
            <w:r>
              <w:rPr>
                <w:rStyle w:val="headding1"/>
              </w:rPr>
              <w:t xml:space="preserve">Weight</w:t>
            </w:r>
          </w:p>
        </w:tc>
      </w:tr>
      <w:tr>
        <w:trPr/>
        <w:tc>
          <w:tcPr>
            <w:tcW w:w="4000" w:type="dxa"/>
          </w:tcPr>
          <w:p>
            <w:pPr>
              <w:jc w:val="center"/>
            </w:pPr>
            <w:r>
              <w:rPr>
                <w:rStyle w:val="normalText"/>
              </w:rPr>
              <w:t xml:space="preserve">The first Mid-semester exam</w:t>
            </w:r>
          </w:p>
        </w:tc>
        <w:tc>
          <w:tcPr>
            <w:tcW w:w="4000" w:type="dxa"/>
          </w:tcPr>
          <w:p>
            <w:pPr>
              <w:jc w:val="center"/>
            </w:pPr>
            <w:r>
              <w:rPr>
                <w:rStyle w:val="normalText"/>
              </w:rPr>
              <w:t xml:space="preserve">T1 Essays/Papers</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The second Mid-semester exam </w:t>
            </w:r>
          </w:p>
        </w:tc>
        <w:tc>
          <w:tcPr>
            <w:tcW w:w="4000" w:type="dxa"/>
          </w:tcPr>
          <w:p>
            <w:pPr>
              <w:jc w:val="center"/>
            </w:pPr>
            <w:r>
              <w:rPr>
                <w:rStyle w:val="normalText"/>
              </w:rPr>
              <w:t xml:space="preserve">T1 Essays/Papers</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Final Exam</w:t>
            </w:r>
          </w:p>
        </w:tc>
        <w:tc>
          <w:tcPr>
            <w:tcW w:w="4000" w:type="dxa"/>
          </w:tcPr>
          <w:p>
            <w:pPr>
              <w:jc w:val="center"/>
            </w:pPr>
            <w:r>
              <w:rPr>
                <w:rStyle w:val="normalText"/>
              </w:rPr>
              <w:t xml:space="preserve">T1 Essays/Papers</w:t>
            </w:r>
          </w:p>
        </w:tc>
        <w:tc>
          <w:tcPr>
            <w:tcW w:w="4000" w:type="dxa"/>
          </w:tcPr>
          <w:p>
            <w:pPr>
              <w:jc w:val="center"/>
            </w:pPr>
            <w:r>
              <w:rPr>
                <w:rStyle w:val="normalText"/>
              </w:rPr>
              <w:t xml:space="preserve">50%</w:t>
            </w:r>
          </w:p>
        </w:tc>
      </w:tr>
      <w:tr>
        <w:trPr/>
        <w:tc>
          <w:tcPr>
            <w:tcW w:w="4000" w:type="dxa"/>
            <w:vAlign w:val="center"/>
            <w:shd w:val="clear" w:fill="14c447"/>
            <w:vMerge w:val="restart"/>
          </w:tcPr>
          <w:p>
            <w:pPr>
              <w:jc w:val="center"/>
            </w:pPr>
            <w:r>
              <w:rPr/>
              <w:t xml:space="preserve">Formula for Overall score</w:t>
            </w:r>
          </w:p>
        </w:tc>
        <w:tc>
          <w:tcPr>
            <w:tcW w:w="8000" w:type="dxa"/>
            <w:vAlign w:val="center"/>
            <w:gridSpan w:val="2"/>
          </w:tcPr>
          <w:p>
            <w:pPr>
              <w:jc w:val="center"/>
            </w:pPr>
            <w:r>
              <w:rPr/>
              <w:t xml:space="preserve">T1*25%+T1*25%+T1*50% or </w:t>
            </w:r>
          </w:p>
        </w:tc>
      </w:tr>
    </w:tbl>
    <w:p>
      <w:r>
        <w:br w:type="page"/>
      </w:r>
    </w:p>
    <w:p>
      <w:pPr/>
      <w:r>
        <w:rPr>
          <w:rStyle w:val="headding1"/>
        </w:rPr>
        <w:t xml:space="preserve">8. Course requirements and expectations:</w:t>
      </w:r>
    </w:p>
    <w:p>
      <w:pPr/>
      <w:r>
        <w:rPr>
          <w:rStyle w:val="headding1"/>
        </w:rPr>
        <w:t xml:space="preserve">Requirements on attendance</w:t>
      </w:r>
    </w:p>
    <w:p>
      <w:pPr>
        <w:numPr>
          <w:ilvl w:val="0"/>
          <w:numId w:val="7"/>
        </w:numPr>
      </w:pPr>
      <w:r>
        <w:rPr>
          <w:rStyle w:val="normalText"/>
        </w:rPr>
        <w:t xml:space="preserve">Students are responsible for attending all classes. In case of absence due to force majeure circumstances, there must be sufficient and reasonable evidence.</w:t>
      </w:r>
    </w:p>
    <w:p>
      <w:pPr>
        <w:numPr>
          <w:ilvl w:val="0"/>
          <w:numId w:val="7"/>
        </w:numPr>
      </w:pPr>
      <w:r>
        <w:rPr>
          <w:rStyle w:val="normalText"/>
        </w:rPr>
        <w:t xml:space="preserve">Students who do not attend more than 20% of the class sections, whether for reason or not, are deemed not to have completed the course and must re-enroll in the following semester.</w:t>
      </w:r>
    </w:p>
    <w:p>
      <w:pPr/>
      <w:r>
        <w:rPr>
          <w:rStyle w:val="headding1"/>
        </w:rPr>
        <w:t xml:space="preserve">Requirements and expectations on student behaviors </w:t>
      </w:r>
    </w:p>
    <w:p>
      <w:pPr>
        <w:numPr>
          <w:ilvl w:val="0"/>
          <w:numId w:val="7"/>
        </w:numPr>
      </w:pPr>
      <w:r>
        <w:rPr>
          <w:rStyle w:val="normalText"/>
        </w:rPr>
        <w:t xml:space="preserve">Students must show their respects for teachers and other learners.</w:t>
      </w:r>
    </w:p>
    <w:p>
      <w:pPr>
        <w:numPr>
          <w:ilvl w:val="0"/>
          <w:numId w:val="7"/>
        </w:numPr>
      </w:pPr>
      <w:r>
        <w:rPr>
          <w:rStyle w:val="normalText"/>
        </w:rPr>
        <w:t xml:space="preserve">Students must be on time. Students who are late more than five minutes will not be allowed to attend the class.</w:t>
      </w:r>
    </w:p>
    <w:p>
      <w:pPr>
        <w:numPr>
          <w:ilvl w:val="0"/>
          <w:numId w:val="7"/>
        </w:numPr>
      </w:pPr>
      <w:r>
        <w:rPr>
          <w:rStyle w:val="normalText"/>
        </w:rPr>
        <w:t xml:space="preserve">Students should not make noises and interfere with others in the learning process.</w:t>
      </w:r>
    </w:p>
    <w:p>
      <w:pPr>
        <w:numPr>
          <w:ilvl w:val="0"/>
          <w:numId w:val="7"/>
        </w:numPr>
      </w:pPr>
      <w:r>
        <w:rPr>
          <w:rStyle w:val="normalText"/>
        </w:rPr>
        <w:t xml:space="preserve">Students should not eat, chew gum, and use devices such as cell phones, music players during class hours.</w:t>
      </w:r>
    </w:p>
    <w:p>
      <w:pPr>
        <w:numPr>
          <w:ilvl w:val="0"/>
          <w:numId w:val="7"/>
        </w:numPr>
      </w:pPr>
      <w:r>
        <w:rPr>
          <w:rStyle w:val="normalText"/>
        </w:rPr>
        <w:t xml:space="preserve">Laptops and tablets can only be used in class for the purpose of learning. </w:t>
      </w:r>
    </w:p>
    <w:p>
      <w:pPr>
        <w:numPr>
          <w:ilvl w:val="0"/>
          <w:numId w:val="7"/>
        </w:numPr>
      </w:pPr>
      <w:r>
        <w:rPr>
          <w:rStyle w:val="normalText"/>
        </w:rPr>
        <w:t xml:space="preserve">Laptops and tablets can only be used in class for the purpose of learning. </w:t>
      </w:r>
    </w:p>
    <w:p>
      <w:pPr/>
      <w:r>
        <w:rPr>
          <w:rStyle w:val="headding1"/>
        </w:rPr>
        <w:t xml:space="preserve">Requirements on learning issues</w:t>
      </w:r>
    </w:p>
    <w:p>
      <w:pPr>
        <w:numPr>
          <w:ilvl w:val="0"/>
          <w:numId w:val="7"/>
        </w:numPr>
      </w:pPr>
      <w:r>
        <w:rPr>
          <w:rStyle w:val="normalText"/>
        </w:rPr>
        <w:t xml:space="preserve">Issues related to applying for score reservation, scoring complaints, scoring, exam disciplines are done according to the Learning Regulation of Tra Vinh University.</w:t>
      </w:r>
    </w:p>
    <w:sectPr>
      <w:headerReference w:type="first" r:id="rId7"/>
      <w:headerReference w:type="default" r:id="rId8"/>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Tra Vinh University</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Tra Vinh University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7AD90BB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75AEFD6F"/>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blodNormalText"/>
    <w:rPr>
      <w:rFonts w:ascii="Times New Roman" w:hAnsi="Times New Roman" w:eastAsia="Times New Roman" w:cs="Times New Roman"/>
      <w:sz w:val="26"/>
      <w:szCs w:val="26"/>
      <w:b w:val="1"/>
      <w:bCs w:val="1"/>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2021-05-28T04:23:31+00:00</dcterms:created>
  <dcterms:modified xsi:type="dcterms:W3CDTF">2021-05-28T04:23:31+00:00</dcterms:modified>
</cp:coreProperties>
</file>

<file path=docProps/custom.xml><?xml version="1.0" encoding="utf-8"?>
<Properties xmlns="http://schemas.openxmlformats.org/officeDocument/2006/custom-properties" xmlns:vt="http://schemas.openxmlformats.org/officeDocument/2006/docPropsVTypes"/>
</file>