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Style w:val="blodNormalText"/>
        </w:rPr>
        <w:t xml:space="preserve">Học phần: </w:t>
      </w:r>
      <w:r>
        <w:rPr>
          <w:rStyle w:val="rStyle"/>
        </w:rPr>
        <w:t xml:space="preserve">Nhập môn Công nghệ thông tin</w:t>
      </w:r>
    </w:p>
    <w:p>
      <w:pPr>
        <w:pStyle w:val="pStyle"/>
      </w:pPr>
      <w:r>
        <w:rPr>
          <w:rStyle w:val="blodNormalText"/>
        </w:rPr>
        <w:t xml:space="preserve">Mã học phần: </w:t>
      </w:r>
      <w:r>
        <w:rPr>
          <w:rStyle w:val="rStyle"/>
        </w:rPr>
        <w:t xml:space="preserve">220092</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7"/>
              </w:numPr>
            </w:pPr>
            <w:r>
              <w:rPr>
                <w:rStyle w:val="normalText"/>
              </w:rPr>
              <w:t xml:space="preserve">Đại cương</w:t>
            </w:r>
          </w:p>
          <w:p>
            <w:pPr>
              <w:numPr>
                <w:ilvl w:val="0"/>
                <w:numId w:val="7"/>
              </w:numPr>
            </w:pPr>
            <w:r>
              <w:rPr>
                <w:rStyle w:val="normalText"/>
              </w:rPr>
              <w:t xml:space="preserve">Cơ sở</w:t>
            </w:r>
          </w:p>
          <w:p>
            <w:pPr>
              <w:numPr>
                <w:ilvl w:val="0"/>
                <w:numId w:val="7"/>
              </w:numPr>
            </w:pPr>
            <w:r>
              <w:rPr>
                <w:rStyle w:val="normalText"/>
              </w:rPr>
              <w:t xml:space="preserve">Chuyên ngành</w:t>
            </w:r>
          </w:p>
        </w:tc>
        <w:tc>
          <w:tcPr>
            <w:tcW w:w="4000" w:type="dxa"/>
          </w:tcPr>
          <w:p>
            <w:pPr>
              <w:numPr>
                <w:ilvl w:val="0"/>
                <w:numId w:val="7"/>
              </w:numPr>
            </w:pPr>
            <w:r>
              <w:rPr>
                <w:rStyle w:val="normalText"/>
              </w:rPr>
              <w:t xml:space="preserve">Lý thuyết: 1</w:t>
            </w:r>
          </w:p>
          <w:p>
            <w:pPr>
              <w:numPr>
                <w:ilvl w:val="0"/>
                <w:numId w:val="7"/>
              </w:numPr>
            </w:pPr>
            <w:r>
              <w:rPr>
                <w:rStyle w:val="normalText"/>
              </w:rPr>
              <w:t xml:space="preserve">Bài tập:</w:t>
            </w:r>
          </w:p>
          <w:p>
            <w:pPr>
              <w:numPr>
                <w:ilvl w:val="0"/>
                <w:numId w:val="7"/>
              </w:numPr>
            </w:pPr>
            <w:r>
              <w:rPr>
                <w:rStyle w:val="normalText"/>
              </w:rPr>
              <w:t xml:space="preserve">Thực hành: 1</w:t>
            </w:r>
          </w:p>
        </w:tc>
        <w:tc>
          <w:tcPr>
            <w:tcW w:w="4000" w:type="dxa"/>
          </w:tcPr>
          <w:p>
            <w:pPr>
              <w:numPr>
                <w:ilvl w:val="0"/>
                <w:numId w:val="7"/>
              </w:numPr>
            </w:pPr>
            <w:r>
              <w:rPr>
                <w:rStyle w:val="normalText"/>
              </w:rPr>
              <w:t xml:space="preserve">Lý thuyết: 15</w:t>
            </w:r>
          </w:p>
          <w:p>
            <w:pPr>
              <w:numPr>
                <w:ilvl w:val="0"/>
                <w:numId w:val="7"/>
              </w:numPr>
            </w:pPr>
            <w:r>
              <w:rPr>
                <w:rStyle w:val="normalText"/>
              </w:rPr>
              <w:t xml:space="preserve">Bài tập:</w:t>
            </w:r>
          </w:p>
          <w:p>
            <w:pPr>
              <w:numPr>
                <w:ilvl w:val="0"/>
                <w:numId w:val="7"/>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rStyle w:val="normalText"/>
              </w:rPr>
              <w:t xml:space="preserve">;</w:t>
            </w:r>
          </w:p>
        </w:tc>
      </w:tr>
      <w:tr>
        <w:trPr/>
        <w:tc>
          <w:tcPr>
            <w:tcW w:w="4000" w:type="dxa"/>
          </w:tcPr>
          <w:p>
            <w:pPr/>
            <w:r>
              <w:rPr>
                <w:rStyle w:val="normalText"/>
              </w:rPr>
              <w:t xml:space="preserve">Các yêu cầu khác:</w:t>
            </w:r>
          </w:p>
        </w:tc>
        <w:tc>
          <w:tcPr>
            <w:tcW w:w="8000" w:type="dxa"/>
          </w:tcP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giáo trình</w:t>
            </w:r>
          </w:p>
        </w:tc>
      </w:tr>
      <w:tr>
        <w:trPr/>
        <w:tc>
          <w:tcPr>
            <w:tcW w:w="4000" w:type="dxa"/>
          </w:tcPr>
          <w:p>
            <w:pPr/>
            <w:r>
              <w:rPr>
                <w:rStyle w:val="normalText"/>
              </w:rPr>
              <w:t xml:space="preserve">Tài liệu tham khảo thêm</w:t>
            </w:r>
          </w:p>
        </w:tc>
        <w:tc>
          <w:tcPr>
            <w:tcW w:w="8000" w:type="dxa"/>
          </w:tcPr>
          <w:p/>
        </w:tc>
      </w:tr>
      <w:tr>
        <w:trPr/>
        <w:tc>
          <w:tcPr>
            <w:tcW w:w="4000" w:type="dxa"/>
          </w:tcPr>
          <w:p>
            <w:pPr/>
            <w:r>
              <w:rPr>
                <w:rStyle w:val="normalText"/>
              </w:rPr>
              <w:t xml:space="preserve">Các loại học liệu khác</w:t>
            </w:r>
          </w:p>
        </w:tc>
        <w:tc>
          <w:tcPr>
            <w:tcW w:w="8000" w:type="dxa"/>
          </w:tcPr>
          <w:p/>
        </w:tc>
      </w:tr>
    </w:tbl>
    <w:p>
      <w:pPr>
        <w:jc w:val="left"/>
      </w:pPr>
      <w:r>
        <w:rPr>
          <w:rStyle w:val="headding1"/>
        </w:rPr>
        <w:t xml:space="preserve">3. Mô tả học phần</w:t>
      </w:r>
    </w:p>
    <w:p>
      <w:pPr/>
      <w:r>
        <w:rPr/>
        <w:t xml:space="preserve">Học phần giúp trang bị cho sinh viên các kiến thức cơ bản về ngành CNTT, trình bày được những lĩnh vực ứng dụng cơ bản của CNTT trong cuộc sống, những phẩm chất, kỹ năng, kiến thức mà những người làm trong lĩnh vực CNTT cần có, Lập trình được một ứng dụng cơ bản thông qua ngôn ngữ lập trình trực quan Alice và Scratch. Đồng thời học phần cũng nhằm rèn luyện cho sinh viên các kỹ năng làm việc nhóm và kỹ năng thuyết trình. Học phần cũng giúp hình thành cho sinh viên thái độ và nhận thức đúng đắn về ngành CNTT và kỹ năng làm việc nhóm và kỹ năng thuyết trình</w:t>
      </w:r>
    </w:p>
    <w:p>
      <w:pPr/>
      <w:r>
        <w:rPr>
          <w:rStyle w:val="headding1"/>
        </w:rPr>
        <w:t xml:space="preserve">4. Chuẩn đầu ra học phần:</w:t>
      </w:r>
    </w:p>
    <w:p>
      <w:pPr/>
      <w:r>
        <w:rPr>
          <w:rStyle w:val="normalText"/>
        </w:rPr>
        <w:t xml:space="preserve">Sau khi hoàn thành học phần, sinh viên có thể:</w:t>
      </w:r>
    </w:p>
    <w:tbl>
      <w:tblGrid>
        <w:gridCol w:w="1000" w:type="dxa"/>
        <w:gridCol w:w="7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4000" w:type="dxa"/>
            <w:vAlign w:val="center"/>
            <w:shd w:val="clear" w:fill="14c447"/>
            <w:vMerge w:val="restart"/>
          </w:tcPr>
          <w:p>
            <w:pPr/>
            <w:r>
              <w:rPr/>
              <w:t xml:space="preserve">Đáp ứng CĐR của CTĐR</w:t>
            </w:r>
          </w:p>
        </w:tc>
      </w:tr>
      <w:tr>
        <w:trPr/>
        <w:tc>
          <w:tcPr>
            <w:tcW w:w="1000" w:type="dxa"/>
          </w:tcPr>
          <w:p/>
        </w:tc>
        <w:tc>
          <w:tcPr>
            <w:tcW w:w="7000" w:type="dxa"/>
          </w:tcPr>
          <w:p>
            <w:pPr/>
            <w:r>
              <w:rPr>
                <w:rStyle w:val="blodNormalText"/>
              </w:rPr>
              <w:t xml:space="preserve">Chủ đề:Kiến thức và lập luận ngành</w:t>
            </w:r>
          </w:p>
        </w:tc>
        <w:tc>
          <w:tcPr>
            <w:tcW w:w="4000" w:type="dxa"/>
          </w:tcP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1.1.1</w:t>
            </w: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1.1.2</w:t>
            </w: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1.1.3</w:t>
            </w: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1.1.4</w:t>
            </w:r>
          </w:p>
        </w:tc>
      </w:tr>
      <w:tr>
        <w:trPr/>
        <w:tc>
          <w:tcPr>
            <w:tcW w:w="1000" w:type="dxa"/>
          </w:tcPr>
          <w:p/>
        </w:tc>
        <w:tc>
          <w:tcPr>
            <w:tcW w:w="7000" w:type="dxa"/>
          </w:tcPr>
          <w:p>
            <w:pPr/>
            <w:r>
              <w:rPr>
                <w:rStyle w:val="blodNormalText"/>
              </w:rPr>
              <w:t xml:space="preserve">Chủ đề:Kỹ năng phẩm chất cá nhân và nghề nghiệp</w:t>
            </w:r>
          </w:p>
        </w:tc>
        <w:tc>
          <w:tcPr>
            <w:tcW w:w="4000" w:type="dxa"/>
          </w:tcPr>
          <w:p/>
        </w:tc>
      </w:tr>
      <w:tr>
        <w:trPr/>
        <w:tc>
          <w:tcPr>
            <w:tcW w:w="1000" w:type="dxa"/>
          </w:tcPr>
          <w:p/>
        </w:tc>
        <w:tc>
          <w:tcPr>
            <w:tcW w:w="7000" w:type="dxa"/>
          </w:tcPr>
          <w:p>
            <w:pPr/>
            <w:r>
              <w:rPr>
                <w:rStyle w:val="blodNormalText"/>
              </w:rPr>
              <w:t xml:space="preserve">Chủ đề:Kỹ năng và phẩm chất giữa các cá nhân</w:t>
            </w:r>
          </w:p>
        </w:tc>
        <w:tc>
          <w:tcPr>
            <w:tcW w:w="4000" w:type="dxa"/>
          </w:tcPr>
          <w:p/>
        </w:tc>
      </w:tr>
      <w:tr>
        <w:trPr/>
        <w:tc>
          <w:tcPr>
            <w:tcW w:w="1000" w:type="dxa"/>
          </w:tcPr>
          <w:p/>
        </w:tc>
        <w:tc>
          <w:tcPr>
            <w:tcW w:w="7000" w:type="dxa"/>
          </w:tcPr>
          <w:p>
            <w:pPr/>
            <w:r>
              <w:rPr>
                <w:rStyle w:val="blodNormalText"/>
              </w:rPr>
              <w:t xml:space="preserve">Chủ đề:Năng lực thực hành nghề nghiệp</w:t>
            </w:r>
          </w:p>
        </w:tc>
        <w:tc>
          <w:tcPr>
            <w:tcW w:w="4000" w:type="dxa"/>
          </w:tcPr>
          <w:p/>
        </w:tc>
      </w:tr>
      <w:tr>
        <w:trPr/>
        <w:tc>
          <w:tcPr>
            <w:tcW w:w="1000" w:type="dxa"/>
          </w:tcPr>
          <w:p/>
        </w:tc>
        <w:tc>
          <w:tcPr>
            <w:tcW w:w="7000" w:type="dxa"/>
          </w:tcPr>
          <w:p>
            <w:pPr/>
            <w:r>
              <w:rPr>
                <w:rStyle w:val="blodNormalText"/>
              </w:rPr>
              <w:t xml:space="preserve">Chủ đề:1234</w:t>
            </w:r>
          </w:p>
        </w:tc>
        <w:tc>
          <w:tcPr>
            <w:tcW w:w="4000" w:type="dxa"/>
          </w:tcPr>
          <w:p/>
        </w:tc>
      </w:tr>
    </w:tbl>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bl>
    <w:p>
      <w:pPr/>
      <w:r>
        <w:rPr>
          <w:rStyle w:val="headding1"/>
        </w:rPr>
        <w:t xml:space="preserve">7. Phương thức đánh giá:</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Hình thức đánh giá</w:t>
            </w:r>
          </w:p>
        </w:tc>
        <w:tc>
          <w:tcPr>
            <w:tcW w:w="4000" w:type="dxa"/>
            <w:vAlign w:val="center"/>
            <w:shd w:val="clear" w:fill="14c447"/>
            <w:vMerge w:val="restart"/>
          </w:tcPr>
          <w:p>
            <w:pPr>
              <w:jc w:val="center"/>
            </w:pPr>
            <w:r>
              <w:rPr>
                <w:rStyle w:val="headding1"/>
              </w:rPr>
              <w:t xml:space="preserve">Tỉ lệ</w:t>
            </w:r>
          </w:p>
        </w:tc>
      </w:tr>
    </w:tbl>
    <w:p>
      <w:r>
        <w:br w:type="page"/>
      </w:r>
    </w:p>
    <w:p>
      <w:pPr/>
      <w:r>
        <w:rPr>
          <w:rStyle w:val="headding1"/>
        </w:rPr>
        <w:t xml:space="preserve">8. Các quy định chung:</w:t>
      </w:r>
    </w:p>
    <w:p>
      <w:pPr/>
      <w:r>
        <w:rPr>
          <w:rStyle w:val="headding1"/>
        </w:rPr>
        <w:t xml:space="preserve">Các quy định về tham dự lớp học</w:t>
      </w:r>
    </w:p>
    <w:p>
      <w:pPr>
        <w:numPr>
          <w:ilvl w:val="0"/>
          <w:numId w:val="7"/>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7"/>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7"/>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7"/>
        </w:numPr>
      </w:pPr>
      <w:r>
        <w:rPr>
          <w:rStyle w:val="normalText"/>
        </w:rPr>
        <w:t xml:space="preserve">Sinh viên phải đi học đúng giờ qui định. Sinh viên đi trễ quá 5 phút sau khi giờ học bắt đầu sẽ không được tham dự buổi học.</w:t>
      </w:r>
    </w:p>
    <w:p>
      <w:pPr>
        <w:numPr>
          <w:ilvl w:val="0"/>
          <w:numId w:val="7"/>
        </w:numPr>
      </w:pPr>
      <w:r>
        <w:rPr>
          <w:rStyle w:val="normalText"/>
        </w:rPr>
        <w:t xml:space="preserve">Tuyệt đối không làm ồn, gây ảnh hưởng đến người khác trong quá trình học.</w:t>
      </w:r>
    </w:p>
    <w:p>
      <w:pPr>
        <w:numPr>
          <w:ilvl w:val="0"/>
          <w:numId w:val="7"/>
        </w:numPr>
      </w:pPr>
      <w:r>
        <w:rPr>
          <w:rStyle w:val="normalText"/>
        </w:rPr>
        <w:t xml:space="preserve">Tuyệt đối không được ăn, nhai kẹo cao su, sử dụng các thiết bị như điện thoại, máy nghe nhạc trong giờ học.</w:t>
      </w:r>
    </w:p>
    <w:p>
      <w:pPr>
        <w:numPr>
          <w:ilvl w:val="0"/>
          <w:numId w:val="7"/>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7"/>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7"/>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D9514F5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2021-03-18T06:37:37+00:00</dcterms:created>
  <dcterms:modified xsi:type="dcterms:W3CDTF">2021-03-18T06:37:37+00:00</dcterms:modified>
</cp:coreProperties>
</file>

<file path=docProps/custom.xml><?xml version="1.0" encoding="utf-8"?>
<Properties xmlns="http://schemas.openxmlformats.org/officeDocument/2006/custom-properties" xmlns:vt="http://schemas.openxmlformats.org/officeDocument/2006/docPropsVTypes"/>
</file>