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ath-equations-test-run"/>
    <w:p>
      <w:pPr>
        <w:pStyle w:val="Heading1"/>
      </w:pPr>
      <w:r>
        <w:t xml:space="preserve">Math Equations Test Run</w:t>
      </w:r>
    </w:p>
    <w:p>
      <w:pPr>
        <w:pStyle w:val="FirstParagraph"/>
      </w:pPr>
      <w:r>
        <w:t xml:space="preserve">Math Equation Test Document</w:t>
      </w:r>
    </w:p>
    <w:p>
      <w:pPr>
        <w:pStyle w:val="BodyText"/>
      </w:pPr>
      <w:r>
        <w:t xml:space="preserve">This fixture PDF is used to verify DocuFlow OCR labels and DOCX/PDF export</w:t>
      </w:r>
    </w:p>
    <w:p>
      <w:pPr>
        <w:pStyle w:val="BodyText"/>
      </w:pPr>
      <w:r>
        <w:t xml:space="preserve">of equations.</w:t>
      </w:r>
    </w:p>
    <w:p>
      <w:pPr>
        <w:pStyle w:val="BodyText"/>
      </w:pPr>
      <w:r>
        <w:t xml:space="preserve">Inline math</w:t>
      </w:r>
    </w:p>
    <w:p>
      <w:pPr>
        <w:pStyle w:val="BodyText"/>
      </w:pPr>
      <w:r>
        <w:t xml:space="preserve">The mass-energy relation is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mc</w:t>
      </w:r>
    </w:p>
    <w:p>
      <w:pPr>
        <w:pStyle w:val="Compact"/>
        <w:numPr>
          <w:ilvl w:val="0"/>
          <w:numId w:val="1001"/>
        </w:numPr>
      </w:pPr>
      <w:r>
        <w:t xml:space="preserve">For a quadratic,</w:t>
      </w:r>
    </w:p>
    <w:p>
      <w:pPr>
        <w:pStyle w:val="FirstParagraph"/>
      </w:pPr>
      <w:r>
        <w:t xml:space="preserve">a x</w:t>
      </w:r>
    </w:p>
    <w:p>
      <w:pPr>
        <w:pStyle w:val="BodyText"/>
      </w:pPr>
      <w:r>
        <w:t xml:space="preserve">2</w:t>
      </w:r>
    </w:p>
    <w:p>
      <w:pPr>
        <w:pStyle w:val="FirstParagraph"/>
      </w:pPr>
      <w:r>
        <w:t xml:space="preserve">b x</w:t>
      </w:r>
    </w:p>
    <w:p>
      <w:pPr>
        <w:pStyle w:val="FirstParagraph"/>
      </w:pPr>
      <w:r>
        <w:t xml:space="preserve">c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has roots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-b±</w:t>
      </w:r>
    </w:p>
    <w:p>
      <w:pPr>
        <w:pStyle w:val="BodyText"/>
      </w:pPr>
      <w:r>
        <w:t xml:space="preserve">√</w:t>
      </w:r>
    </w:p>
    <w:p>
      <w:pPr>
        <w:pStyle w:val="BodyText"/>
      </w:pPr>
      <w:r>
        <w:t xml:space="preserve">b</w:t>
      </w:r>
    </w:p>
    <w:p>
      <w:pPr>
        <w:pStyle w:val="BodyText"/>
      </w:pPr>
      <w:r>
        <w:t xml:space="preserve">2</w:t>
      </w:r>
    </w:p>
    <w:p>
      <w:pPr>
        <w:pStyle w:val="FirstParagraph"/>
      </w:pPr>
      <w:r>
        <w:t xml:space="preserve">4</w:t>
      </w:r>
    </w:p>
    <w:p>
      <w:pPr>
        <w:pStyle w:val="BodyText"/>
      </w:pPr>
      <w:r>
        <w:t xml:space="preserve">ac</w:t>
      </w:r>
    </w:p>
    <w:p>
      <w:pPr>
        <w:pStyle w:val="BodyText"/>
      </w:pPr>
      <w:r>
        <w:t xml:space="preserve">2</w:t>
      </w:r>
    </w:p>
    <w:p>
      <w:pPr>
        <w:pStyle w:val="FirstParagraph"/>
      </w:pPr>
      <w:r>
        <w:t xml:space="preserve">Display equations</w:t>
      </w:r>
    </w:p>
    <w:p>
      <w:pPr>
        <w:pStyle w:val="BodyText"/>
      </w:pPr>
      <w:r>
        <w:t xml:space="preserve">Maxwell-Faraday law:</w:t>
      </w:r>
    </w:p>
    <w:p>
      <w:pPr>
        <w:pStyle w:val="BodyText"/>
      </w:pPr>
      <w:r>
        <w:t xml:space="preserve">∇</w:t>
      </w:r>
    </w:p>
    <w:p>
      <w:pPr>
        <w:pStyle w:val="BodyText"/>
      </w:pPr>
      <w:r>
        <w:t xml:space="preserve">×E</w:t>
      </w:r>
    </w:p>
    <w:p>
      <w:pPr>
        <w:pStyle w:val="BodyText"/>
      </w:pPr>
      <w:r>
        <w:t xml:space="preserve">=</w:t>
      </w:r>
    </w:p>
    <w:p>
      <w:pPr>
        <w:pStyle w:val="Compact"/>
        <w:numPr>
          <w:ilvl w:val="0"/>
          <w:numId w:val="1006"/>
        </w:numPr>
      </w:pPr>
      <w:r>
        <w:t xml:space="preserve">∂B</w:t>
      </w:r>
    </w:p>
    <w:p>
      <w:pPr>
        <w:pStyle w:val="FirstParagraph"/>
      </w:pPr>
      <w:r>
        <w:t xml:space="preserve">∂t</w:t>
      </w:r>
    </w:p>
    <w:p>
      <w:pPr>
        <w:pStyle w:val="BodyText"/>
      </w:pPr>
      <w:r>
        <w:t xml:space="preserve">Euler’s identity:</w:t>
      </w:r>
    </w:p>
    <w:p>
      <w:pPr>
        <w:pStyle w:val="BodyText"/>
      </w:pPr>
      <w:r>
        <w:t xml:space="preserve">e</w:t>
      </w:r>
    </w:p>
    <w:p>
      <w:pPr>
        <w:pStyle w:val="BodyText"/>
      </w:pPr>
      <w:r>
        <w:t xml:space="preserve">i π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Definite integral:</w:t>
      </w:r>
    </w:p>
    <w:p>
      <w:pPr>
        <w:pStyle w:val="BodyText"/>
      </w:pPr>
      <w:r>
        <w:t xml:space="preserve">∫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x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d x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Summation:</w:t>
      </w:r>
    </w:p>
    <w:p>
      <w:pPr>
        <w:pStyle w:val="BodyText"/>
      </w:pPr>
      <w:r>
        <w:t xml:space="preserve">∑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k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n</w:t>
      </w:r>
    </w:p>
    <w:p>
      <w:pPr>
        <w:pStyle w:val="BodyText"/>
      </w:pPr>
      <w:r>
        <w:t xml:space="preserve">(</w:t>
      </w:r>
    </w:p>
    <w:p>
      <w:pPr>
        <w:pStyle w:val="BodyText"/>
      </w:pPr>
      <w:r>
        <w:t xml:space="preserve">n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Mixed paragraph</w:t>
      </w:r>
    </w:p>
    <w:p>
      <w:pPr>
        <w:pStyle w:val="BodyText"/>
      </w:pPr>
      <w:r>
        <w:t xml:space="preserve">Power electronics often uses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(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)=</w:t>
      </w:r>
    </w:p>
    <w:p>
      <w:pPr>
        <w:pStyle w:val="BodyText"/>
      </w:pPr>
      <w:r>
        <w:t xml:space="preserve">Vm</w:t>
      </w:r>
    </w:p>
    <w:p>
      <w:pPr>
        <w:pStyle w:val="BodyText"/>
      </w:pPr>
      <w:r>
        <w:t xml:space="preserve">sin</w:t>
      </w:r>
    </w:p>
    <w:p>
      <w:pPr>
        <w:pStyle w:val="BodyText"/>
      </w:pPr>
      <w:r>
        <w:t xml:space="preserve">(</w:t>
      </w:r>
    </w:p>
    <w:p>
      <w:pPr>
        <w:pStyle w:val="BodyText"/>
      </w:pPr>
      <w:r>
        <w:t xml:space="preserve">ωt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while average power is</w:t>
      </w:r>
    </w:p>
    <w:p>
      <w:pPr>
        <w:pStyle w:val="BodyText"/>
      </w:pPr>
      <w:r>
        <w:t xml:space="preserve">P</w:t>
      </w:r>
    </w:p>
    <w:p>
      <w:pPr>
        <w:pStyle w:val="BodyText"/>
      </w:pPr>
      <w:r>
        <w:t xml:space="preserve">av g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∫</w:t>
      </w:r>
    </w:p>
    <w:p>
      <w:pPr>
        <w:pStyle w:val="BodyText"/>
      </w:pPr>
      <w:r>
        <w:t xml:space="preserve">0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v</w:t>
      </w:r>
    </w:p>
    <w:p>
      <w:pPr>
        <w:pStyle w:val="BodyText"/>
      </w:pPr>
      <w:r>
        <w:t xml:space="preserve">(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i</w:t>
      </w:r>
    </w:p>
    <w:p>
      <w:pPr>
        <w:pStyle w:val="BodyText"/>
      </w:pPr>
      <w:r>
        <w:t xml:space="preserve">(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dt.</w:t>
      </w:r>
    </w:p>
    <w:p>
      <w:pPr>
        <w:pStyle w:val="BodyText"/>
      </w:pPr>
      <w:r>
        <w:t xml:space="preserve">Second page: matrix and fraction.</w:t>
      </w:r>
    </w:p>
    <w:p>
      <w:pPr>
        <w:pStyle w:val="BodyText"/>
      </w:pPr>
      <w:r>
        <w:t xml:space="preserve">A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(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),</w:t>
      </w:r>
    </w:p>
    <w:p>
      <w:pPr>
        <w:pStyle w:val="BodyText"/>
      </w:pPr>
      <w:r>
        <w:t xml:space="preserve">^</w:t>
      </w:r>
    </w:p>
    <w:p>
      <w:pPr>
        <w:pStyle w:val="BodyText"/>
      </w:pPr>
      <w:r>
        <w:t xml:space="preserve">Hψ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Eψ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2026-06-25T11:10:50Z</dcterms:created>
  <dcterms:modified xsi:type="dcterms:W3CDTF">2026-06-25T11:10:50Z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