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Equations Scanned</w:t>
      </w:r>
    </w:p>
    <w:p>
      <w:pPr>
        <w:pStyle w:val="Heading2"/>
      </w:pPr>
      <w:r>
        <w:t>Math Equation Test Document</w:t>
      </w:r>
    </w:p>
    <w:p>
      <w:pPr>
        <w:jc w:val="center"/>
      </w:pPr>
      <w:r>
        <w:t>This fixture PDF is used to verify DocuFlow OCR labels and DOCX/PDF export of equations.</w:t>
      </w:r>
    </w:p>
    <w:p>
      <w:pPr>
        <w:pStyle w:val="Heading2"/>
      </w:pPr>
      <w:r>
        <w:t>Inline math</w:t>
      </w:r>
    </w:p>
    <w:p>
      <w:pPr>
        <w:jc w:val="center"/>
      </w:pPr>
      <w:r>
        <w:t>The mass-energy relation is  \( E=mc^{2} \) . For a quadratic,  \( ax^{2}+bx+c=0 \)  has roots  \( x=\frac{-b\pm\sqrt{b^{2}-4ac}}{2a} \) .</w:t>
      </w:r>
    </w:p>
    <w:p>
      <w:pPr>
        <w:pStyle w:val="Heading2"/>
      </w:pPr>
      <w:r>
        <w:t>Display equations</w:t>
      </w:r>
    </w:p>
    <w:p>
      <w:r>
        <w:t>Maxwell–Faraday law:</w:t>
      </w:r>
    </w:p>
    <w:p>
      <w:pPr>
        <w:jc w:val="center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B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r>
        <w:t>Euler's identity:</w:t>
      </w:r>
    </w:p>
    <w:p>
      <w:pPr>
        <w:jc w:val="center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t>Definite integral:</w:t>
      </w:r>
    </w:p>
    <w:p>
      <w:pPr>
        <w:jc w:val="center"/>
      </w:pPr>
      <m:oMathPara>
        <m:oMathParaPr>
          <m:jc m:val="center"/>
        </m:oMathParaPr>
        <m:oMath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r>
        <w:t>Summation:</w:t>
      </w:r>
    </w:p>
    <w:p>
      <w:pPr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pStyle w:val="Heading2"/>
      </w:pPr>
      <w:r>
        <w:t>Mixed paragraph</w:t>
      </w:r>
    </w:p>
    <w:p>
      <w:pPr>
        <w:jc w:val="center"/>
      </w:pPr>
      <w:r>
        <w:t>Power electronics often uses  \( v(t)=V_{m}\sin(\omega t) \)  while average power is</w:t>
      </w:r>
    </w:p>
    <w:p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ν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r>
        <w:t>Second page: matrix and fraction.</w:t>
      </w:r>
    </w:p>
    <w:p>
      <w:pPr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