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ath-equation-test-document"/>
    <w:p>
      <w:pPr>
        <w:pStyle w:val="Heading1"/>
      </w:pPr>
      <w:r>
        <w:t xml:space="preserve">Math Equation Test Document</w:t>
      </w:r>
    </w:p>
    <w:p>
      <w:pPr>
        <w:pStyle w:val="FirstParagraph"/>
      </w:pPr>
      <w:r>
        <w:t xml:space="preserve">This fixture PDF is used to verify DocuFlow OCR labels and DOCX/PDF export of equations.</w:t>
      </w:r>
    </w:p>
    <w:bookmarkStart w:id="9" w:name="inline-math"/>
    <w:p>
      <w:pPr>
        <w:pStyle w:val="Heading2"/>
      </w:pPr>
      <w:r>
        <w:t xml:space="preserve">Inline math</w:t>
      </w:r>
    </w:p>
    <w:p>
      <w:pPr>
        <w:pStyle w:val="FirstParagraph"/>
      </w:pPr>
      <w:r>
        <w:t xml:space="preserve">The mass–energy relation is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 For a quadratic,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roots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.</w:t>
      </w:r>
    </w:p>
    <w:bookmarkEnd w:id="9"/>
    <w:bookmarkStart w:id="10" w:name="display-equations"/>
    <w:p>
      <w:pPr>
        <w:pStyle w:val="Heading2"/>
      </w:pPr>
      <w:r>
        <w:t xml:space="preserve">Display equations</w:t>
      </w:r>
    </w:p>
    <w:p>
      <w:pPr>
        <w:pStyle w:val="FirstParagraph"/>
      </w:pPr>
      <w:r>
        <w:t xml:space="preserve">Maxwell–Faraday law: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B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Euler’s identity: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Definite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Summation: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bookmarkEnd w:id="10"/>
    <w:bookmarkStart w:id="11" w:name="mixed-paragraph"/>
    <w:p>
      <w:pPr>
        <w:pStyle w:val="Heading2"/>
      </w:pPr>
      <w:r>
        <w:t xml:space="preserve">Mixed paragraph</w:t>
      </w:r>
    </w:p>
    <w:p>
      <w:pPr>
        <w:pStyle w:val="FirstParagraph"/>
      </w:pPr>
      <w:r>
        <w:t xml:space="preserve">Power electronics often uses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while average power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v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Second page: matrix and fraction.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2026-06-25T11:05:27Z</dcterms:created>
  <dcterms:modified xsi:type="dcterms:W3CDTF">2026-06-25T11:05:27Z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