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tbl>
      <w:tblPr>
        <w:tblW w:w="9330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725"/>
        <w:gridCol w:w="7604"/>
      </w:tblGrid>
      <w:tr>
        <w:trPr/>
        <w:tc>
          <w:tcPr>
            <w:tcW w:w="172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  <w:t>Ссылка на видео</w:t>
            </w:r>
          </w:p>
        </w:tc>
        <w:tc>
          <w:tcPr>
            <w:tcW w:w="760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start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  <w:t>«Изучение методов вычисления синуса»</w:t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индивидуальный учебный проект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ученик 10 класса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Калугин Андрей Павлович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НАУЧНЫЙ РУКОВОДИТЕЛЬ: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КОНСУЛЬТАНТ: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Ибрагимова Нурай Афиг кызы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Старый Крым, 20</w:t>
      </w:r>
      <w:r>
        <w:rPr>
          <w:rFonts w:eastAsia="Times New Roman" w:cs="Times New Roman"/>
          <w:sz w:val="28"/>
          <w:szCs w:val="28"/>
          <w:lang w:val="ru-RU"/>
        </w:rPr>
        <w:t>23-2024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lang w:val="ru-RU"/>
        </w:rPr>
      </w:pPr>
      <w:bookmarkStart w:id="0" w:name="__RefHeading___Toc1999_3274671837"/>
      <w:bookmarkStart w:id="1" w:name="_Toc157546321"/>
      <w:bookmarkEnd w:id="0"/>
      <w:r>
        <w:rPr>
          <w:lang w:val="ru-RU"/>
        </w:rPr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"1-3" \h</w:instrText>
          </w:r>
          <w:r>
            <w:rPr>
              <w:rStyle w:val="Style11"/>
            </w:rPr>
            <w:fldChar w:fldCharType="separate"/>
          </w:r>
          <w:hyperlink w:anchor="__RefHeading___Toc1999_3274671837">
            <w:r>
              <w:rPr>
                <w:rStyle w:val="Style11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Style11"/>
              </w:rPr>
              <w:t>Глава I. Основные понятия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Style11"/>
              </w:rPr>
              <w:t>1.1 Определение синуса острого угла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Style11"/>
              </w:rPr>
              <w:t>1.2 Единичная и числовая окружности, радиан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Style11"/>
              </w:rPr>
              <w:t>1.3 Определение синуса числа</w:t>
              <w:tab/>
              <w:t>6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Style11"/>
              </w:rPr>
              <w:t>1.4 Синусоида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Style11"/>
              </w:rPr>
              <w:t>Глава II. Свойства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Style11"/>
              </w:rPr>
              <w:t>2.1 Область определения и область значения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2_3606187884">
            <w:r>
              <w:rPr>
                <w:rStyle w:val="Style11"/>
              </w:rPr>
              <w:t>2.2 Нечётность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Style11"/>
              </w:rPr>
              <w:t>2.3 Периодичность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Style11"/>
              </w:rPr>
              <w:t>2.4 Производная синуса</w:t>
              <w:tab/>
              <w:t>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Style11"/>
              </w:rPr>
              <w:t>Глава III. Методы вычисления синуса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Style11"/>
              </w:rPr>
              <w:t>3.1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Style11"/>
              </w:rPr>
              <w:t>3.2 Ряд Тейлора</w:t>
              <w:tab/>
              <w:t>11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Style11"/>
              </w:rPr>
              <w:t>3.3 CORDIC</w:t>
              <w:tab/>
              <w:t>13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Style11"/>
              </w:rPr>
              <w:t>Глава IV. Практическая часть.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Style11"/>
              </w:rPr>
              <w:t>4.1 Встроенная функция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Style11"/>
              </w:rPr>
              <w:t>4.2 Реализация синуса при помощи табличных значений</w:t>
              <w:tab/>
              <w:t>15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Style11"/>
              </w:rPr>
              <w:t>4.3 Реализация Ряда Тейлора</w:t>
              <w:tab/>
              <w:t>19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Style11"/>
              </w:rPr>
              <w:t>4.4 Реализация метода CORDIC</w:t>
              <w:tab/>
              <w:t>21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846_3550923005">
            <w:r>
              <w:rPr>
                <w:rStyle w:val="Style11"/>
              </w:rPr>
              <w:t>4.5 Расчёт погрешности</w:t>
              <w:tab/>
              <w:t>23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_%25252">
            <w:r>
              <w:rPr>
                <w:rStyle w:val="Style11"/>
              </w:rPr>
              <w:t>Глава V. Результаты и обсуждение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4_3606187884">
            <w:r>
              <w:rPr>
                <w:rStyle w:val="Style11"/>
              </w:rPr>
              <w:t>5.1 Итоги теоретической части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6_3606187884">
            <w:r>
              <w:rPr>
                <w:rStyle w:val="Style11"/>
              </w:rPr>
              <w:t>5.2 Итоги практической части</w:t>
              <w:tab/>
              <w:t>29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63_468351346">
            <w:r>
              <w:rPr>
                <w:rStyle w:val="Style11"/>
              </w:rPr>
              <w:t>5.3 Выводы</w:t>
              <w:tab/>
              <w:t>32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Style11"/>
              </w:rPr>
              <w:t>Список литературы</w:t>
              <w:tab/>
              <w:t>33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yle17"/>
        <w:numPr>
          <w:ilvl w:val="1"/>
          <w:numId w:val="1"/>
        </w:num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lang w:val="ru-RU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  <w:lang w:val="ru-RU"/>
        </w:rPr>
        <w:t>Введение</w:t>
      </w:r>
      <w:bookmarkEnd w:id="3"/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областях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эффективного вычисления синуса" — вопрос, который далеко не так прост, как может показаться на первый взгляд.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Проблема</w:t>
      </w:r>
      <w:r>
        <w:rPr>
          <w:lang w:val="ru-RU"/>
        </w:rPr>
        <w:t xml:space="preserve"> заключается в том, что такая важная функция как синус не имеет оптимального метода вычислений, который подходил бы под любые условия, наоборот, существует огромное множество различных методов вычислений, каждый из которых имеет свои преимущества и недостатки, из-за чего реализация данной функции превращается в непростую задачу.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Актуальность</w:t>
      </w:r>
      <w:r>
        <w:rPr>
          <w:rFonts w:cs="Times New Roman"/>
          <w:lang w:val="ru-RU"/>
        </w:rPr>
        <w:t xml:space="preserve"> данной темы заключается в том, что синус — повсеместно используемая функция: она часто встречается в физике, например при расчёте различных колебаний, поэтому её также применяют в музыке. В компьютерной графике синус вычисляется тысячи раз в секунду, а это значит, что важно его вычислять эффективно. Зная оптимальный путь к нахождению значения синуса, можно добиться лучших результатов.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Цель</w:t>
      </w:r>
      <w:r>
        <w:rPr>
          <w:rFonts w:cs="Times New Roman"/>
          <w:lang w:val="ru-RU"/>
        </w:rPr>
        <w:t>: изучить основные методы для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Задачи</w:t>
      </w:r>
      <w:r>
        <w:rPr>
          <w:rFonts w:cs="Times New Roman"/>
          <w:lang w:val="ru-RU"/>
        </w:rPr>
        <w:t>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дать определение функции синус,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описать свойства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реализовать основные методы нахождения синуса на языке программирования С++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Объект изучения</w:t>
      </w:r>
      <w:r>
        <w:rPr>
          <w:rFonts w:cs="Times New Roman"/>
          <w:lang w:val="ru-RU"/>
        </w:rPr>
        <w:t>: тригонометрическая функция sin.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Предмет изучения</w:t>
      </w:r>
      <w:r>
        <w:rPr>
          <w:rFonts w:cs="Times New Roman"/>
          <w:lang w:val="ru-RU"/>
        </w:rPr>
        <w:t>: способы вычисления синуса.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Использованные методы работы</w:t>
      </w:r>
      <w:r>
        <w:rPr>
          <w:lang w:val="ru-RU"/>
        </w:rPr>
        <w:t>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Сравнение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Анализ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Синтез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Моделирование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Работа состоит из</w:t>
      </w:r>
      <w:r>
        <w:rPr>
          <w:lang w:val="ru-RU"/>
        </w:rPr>
        <w:t xml:space="preserve"> 5 глав: Теории (главы I - III), практики (глава IV), обсуждения результатов (глава V) и списка литературы. Список литературы содержит 9 источников.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Результаты данной работы могут быть использованы</w:t>
      </w:r>
      <w:r>
        <w:rPr>
          <w:lang w:val="ru-RU"/>
        </w:rPr>
        <w:t xml:space="preserve"> учениками, учителями и студентами для:</w:t>
      </w:r>
    </w:p>
    <w:p>
      <w:pPr>
        <w:pStyle w:val="BodyText"/>
        <w:rPr>
          <w:lang w:val="ru-RU"/>
        </w:rPr>
      </w:pPr>
      <w:r>
        <w:rPr>
          <w:lang w:val="ru-RU"/>
        </w:rPr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rPr>
          <w:lang w:val="ru-RU"/>
        </w:rPr>
      </w:pPr>
      <w:r>
        <w:rPr>
          <w:lang w:val="ru-RU"/>
        </w:rPr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rPr>
          <w:lang w:val="ru-RU"/>
        </w:rPr>
      </w:pPr>
      <w:r>
        <w:rPr>
          <w:lang w:val="ru-RU"/>
        </w:rPr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  <w:b w:val="false"/>
          <w:bCs w:val="false"/>
          <w:lang w:val="ru-RU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6" w:name="__RefHeading___Toc2005_3274671837"/>
      <w:bookmarkStart w:id="7" w:name="_Toc157546324"/>
      <w:bookmarkEnd w:id="6"/>
      <w:r>
        <w:rPr>
          <w:lang w:val="ru-RU"/>
        </w:rPr>
        <w:t>1.1 Определение синуса острого угла</w:t>
      </w:r>
      <w:bookmarkEnd w:id="7"/>
    </w:p>
    <w:p>
      <w:pPr>
        <w:pStyle w:val="BodyText"/>
        <w:rPr>
          <w:lang w:val="ru-RU"/>
        </w:rPr>
      </w:pPr>
      <w:r>
        <w:rPr>
          <w:lang w:val="ru-RU"/>
        </w:rPr>
        <w:tab/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1233805</wp:posOffset>
                </wp:positionH>
                <wp:positionV relativeFrom="paragraph">
                  <wp:posOffset>-57150</wp:posOffset>
                </wp:positionV>
                <wp:extent cx="3511550" cy="2550795"/>
                <wp:effectExtent l="0" t="635" r="0" b="0"/>
                <wp:wrapTopAndBottom/>
                <wp:docPr id="1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440" cy="255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12185" cy="222377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2185" cy="222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Прямоугольный треугольник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97.15pt;margin-top:-4.5pt;width:276.45pt;height:200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12185" cy="222377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2185" cy="222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Прямоугольный треугольник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8" w:name="__RefHeading___Toc2007_3274671837"/>
      <w:bookmarkStart w:id="9" w:name="_Toc157546325"/>
      <w:bookmarkEnd w:id="8"/>
      <w:r>
        <w:rPr>
          <w:lang w:val="ru-RU"/>
        </w:rPr>
        <w:t>1.2 Единичная и числовая окружности, радиан</w:t>
      </w:r>
      <w:bookmarkEnd w:id="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Единичная окружность — это окружность с радиусом равным 1 и центром в начале координат.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lang w:val="ru-RU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3175" distB="635" distL="112395" distR="107950" simplePos="0" locked="0" layoutInCell="0" allowOverlap="1" relativeHeight="10">
                <wp:simplePos x="0" y="0"/>
                <wp:positionH relativeFrom="column">
                  <wp:posOffset>1837690</wp:posOffset>
                </wp:positionH>
                <wp:positionV relativeFrom="paragraph">
                  <wp:posOffset>407035</wp:posOffset>
                </wp:positionV>
                <wp:extent cx="2232660" cy="2536190"/>
                <wp:effectExtent l="0" t="0" r="0" b="0"/>
                <wp:wrapTopAndBottom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253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83790" cy="2268855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3790" cy="226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Числовая окружность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44.7pt;margin-top:32.05pt;width:175.75pt;height:199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83790" cy="2268855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3790" cy="226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Числовая окружность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Числовая окружность (рисунок 2)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0" w:name="__RefHeading___Toc2009_3274671837"/>
      <w:bookmarkStart w:id="11" w:name="_Toc157546326"/>
      <w:bookmarkEnd w:id="10"/>
      <w:r>
        <w:rPr>
          <w:lang w:val="ru-RU"/>
        </w:rPr>
        <w:t>1.3 Определение синуса числа</w:t>
      </w:r>
      <w:bookmarkEnd w:id="11"/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13">
                <wp:simplePos x="0" y="0"/>
                <wp:positionH relativeFrom="column">
                  <wp:posOffset>1744980</wp:posOffset>
                </wp:positionH>
                <wp:positionV relativeFrom="paragraph">
                  <wp:posOffset>1259840</wp:posOffset>
                </wp:positionV>
                <wp:extent cx="2414270" cy="2865755"/>
                <wp:effectExtent l="0" t="635" r="0" b="0"/>
                <wp:wrapTopAndBottom/>
                <wp:docPr id="3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160" cy="28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14905" cy="2414905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4905" cy="2414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Единичная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окружность и вектор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137.4pt;margin-top:99.2pt;width:190.05pt;height:225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14905" cy="2414905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4905" cy="2414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Единичная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окружность и вектор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ru-RU"/>
        </w:rPr>
        <w:tab/>
        <w:t xml:space="preserve">Проведём вектор из начала координат в точку на единичной окружности (рисунок 3).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12" w:name="__RefHeading___Toc2011_3274671837"/>
      <w:bookmarkStart w:id="13" w:name="_Toc157546327"/>
      <w:bookmarkEnd w:id="12"/>
      <w:r>
        <w:rPr>
          <w:lang w:val="ru-RU"/>
        </w:rPr>
        <w:t>1.4 Синусоида</w:t>
      </w:r>
      <w:bookmarkEnd w:id="13"/>
    </w:p>
    <w:p>
      <w:pPr>
        <w:pStyle w:val="Normal"/>
        <w:ind w:firstLine="851"/>
        <w:jc w:val="both"/>
        <w:rPr>
          <w:lang w:val="ru-RU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18">
                <wp:simplePos x="0" y="0"/>
                <wp:positionH relativeFrom="column">
                  <wp:posOffset>2656205</wp:posOffset>
                </wp:positionH>
                <wp:positionV relativeFrom="paragraph">
                  <wp:posOffset>194310</wp:posOffset>
                </wp:positionV>
                <wp:extent cx="3286760" cy="1958975"/>
                <wp:effectExtent l="0" t="635" r="0" b="0"/>
                <wp:wrapSquare wrapText="largest"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800" cy="195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87395" cy="1671955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7395" cy="167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Правильная синусоида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209.15pt;margin-top:15.3pt;width:258.75pt;height:154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87395" cy="1671955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7395" cy="167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Правильная синусоида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>
          <w:rFonts w:cs="Times New Roman"/>
          <w:lang w:val="ru-RU"/>
        </w:rPr>
        <w:t>, где a, b, c и d являются постоянными.</w:t>
      </w:r>
    </w:p>
    <w:p>
      <w:pPr>
        <w:pStyle w:val="Normal"/>
        <w:ind w:firstLine="851"/>
        <w:jc w:val="both"/>
        <w:rPr>
          <w:lang w:val="ru-RU"/>
        </w:rPr>
      </w:pPr>
      <w:r>
        <w:rPr>
          <w:rFonts w:cs="Times New Roman"/>
          <w:lang w:val="ru-RU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(рисунок 4).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  <w:lang w:val="ru-RU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6" w:name="__RefHeading___Toc2015_3274671837"/>
      <w:bookmarkStart w:id="17" w:name="_Toc157546329"/>
      <w:bookmarkEnd w:id="16"/>
      <w:r>
        <w:rPr>
          <w:lang w:val="ru-RU"/>
        </w:rPr>
        <w:t>2.1 Область определения и область значения синуса</w:t>
      </w:r>
      <w:bookmarkEnd w:id="17"/>
    </w:p>
    <w:p>
      <w:pPr>
        <w:pStyle w:val="BodyText"/>
        <w:rPr>
          <w:lang w:val="ru-RU"/>
        </w:rPr>
      </w:pPr>
      <w:r>
        <w:rPr>
          <w:lang w:val="ru-RU"/>
        </w:rPr>
        <w:tab/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рассматривать синус острого угла, то т. к. гипотенуза всегда больше катета, синус принимает значения (0; 1).Но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18" w:name="__RefHeading___Toc2512_3606187884"/>
      <w:bookmarkEnd w:id="18"/>
      <w:r>
        <w:rPr>
          <w:lang w:val="ru-RU"/>
        </w:rPr>
        <w:t>2.2 Нечётность синуса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Примером чётной функции может послужить косинус.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оси y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нечётной,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Синус является нечётной функцией.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начала координат.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Функция, обратная нечётной функции, тоже является нечётной. Так, арксинус — нечётная функция.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Нечётность синуса позволяет найти значение sin(-x), зная sin(x) или найти знак sin(-x), зная знак sin(x). Поэтому все вычисления можно свести к промежутку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;</m:t>
            </m:r>
            <m:r>
              <m:t xml:space="preserve">+</m:t>
            </m:r>
            <m:r>
              <m:t xml:space="preserve">∞</m:t>
            </m:r>
          </m:e>
        </m:d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9" w:name="__RefHeading___Toc2017_3274671837"/>
      <w:bookmarkStart w:id="20" w:name="_Toc157546330"/>
      <w:bookmarkEnd w:id="19"/>
      <w:r>
        <w:rPr>
          <w:lang w:val="ru-RU"/>
        </w:rPr>
        <w:t>2.3 Периодичность синуса</w:t>
      </w:r>
      <w:bookmarkEnd w:id="20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  <w:lang w:val="ru-RU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  <w:lang w:val="ru-RU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Как мы уже видели, одной точке на числовой окружности соответствует бесконечное множество чисел.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-26670</wp:posOffset>
                </wp:positionH>
                <wp:positionV relativeFrom="paragraph">
                  <wp:posOffset>219075</wp:posOffset>
                </wp:positionV>
                <wp:extent cx="5918835" cy="230314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760" cy="230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полупериод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-2.1pt;margin-top:17.25pt;width:466pt;height:181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полупериод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графике (рисунок 5)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-22225</wp:posOffset>
                </wp:positionH>
                <wp:positionV relativeFrom="paragraph">
                  <wp:posOffset>272415</wp:posOffset>
                </wp:positionV>
                <wp:extent cx="5993130" cy="218503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280" cy="21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84875" cy="186817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4875" cy="186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1.75pt;margin-top:21.45pt;width:471.85pt;height:17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84875" cy="186817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4875" cy="1868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6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Заметим, что левый полупериод симметричен правому (рисунок 6).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,</m:t>
            </m:r>
            <m:f>
              <m:num>
                <m:r>
                  <m:t xml:space="preserve">π</m:t>
                </m:r>
              </m:num>
              <m:den>
                <m:r>
                  <m:t xml:space="preserve">2</m:t>
                </m:r>
              </m:den>
            </m:f>
          </m:e>
        </m:d>
      </m:oMath>
      <w:r>
        <w:rPr>
          <w:rFonts w:cs="Times New Roman"/>
          <w:lang w:val="ru-RU"/>
        </w:rPr>
        <w:t>. Данный приём называется уменьшением диапазона.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21" w:name="__RefHeading___Toc2019_3274671837"/>
      <w:bookmarkStart w:id="22" w:name="_Toc157546331"/>
      <w:bookmarkEnd w:id="21"/>
      <w:r>
        <w:rPr>
          <w:lang w:val="ru-RU"/>
        </w:rPr>
        <w:t>2.4 Производная синуса</w:t>
      </w:r>
      <w:bookmarkEnd w:id="22"/>
    </w:p>
    <w:p>
      <w:pPr>
        <w:pStyle w:val="BodyText"/>
        <w:rPr>
          <w:lang w:val="ru-RU"/>
        </w:rPr>
      </w:pPr>
      <w:r>
        <w:rPr>
          <w:lang w:val="ru-RU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характеризует,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Дифференцирование — это нахождение производной.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— нотация Лагранжа.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 xml:space="preserve"> — </w:t>
      </w:r>
      <w:r>
        <w:rPr>
          <w:rFonts w:cs="Times New Roman"/>
          <w:lang w:val="ru-RU"/>
        </w:rPr>
        <w:t>точка, в окрестности которой мы ищем производную.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— нотация Лейбница.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</m:oMath>
      <w:r>
        <w:rPr>
          <w:lang w:val="ru-RU"/>
        </w:rPr>
        <w:t>.</w:t>
      </w:r>
    </w:p>
    <w:p>
      <w:pPr>
        <w:pStyle w:val="BodyText"/>
        <w:spacing w:before="0" w:after="0"/>
        <w:ind w:firstLine="851" w:start="0" w:end="283"/>
        <w:jc w:val="both"/>
        <w:rPr>
          <w:lang w:val="ru-RU"/>
        </w:rPr>
      </w:pPr>
      <w:r>
        <w:rPr>
          <w:rFonts w:cs="Times New Roman"/>
          <w:lang w:val="ru-RU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lang w:val="ru-RU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Следовательно, синус можно дифференцировать бесконечное количество раз, так как данный процес цикличен.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23" w:name="__RefHeading___Toc2021_3274671837"/>
      <w:bookmarkStart w:id="24" w:name="_Toc157546332"/>
      <w:bookmarkEnd w:id="23"/>
      <w:r>
        <w:rPr>
          <w:rFonts w:cs="Times New Roman"/>
          <w:lang w:val="ru-RU"/>
        </w:rPr>
        <w:t>Глава III. Методы вычисления синуса</w:t>
      </w:r>
      <w:bookmarkEnd w:id="24"/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25" w:name="__RefHeading___Toc2124_159550679"/>
      <w:bookmarkEnd w:id="25"/>
      <w:r>
        <w:rPr>
          <w:lang w:val="ru-RU"/>
        </w:rPr>
        <w:t>3.1 Табличные значения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13335" distB="0" distL="0" distR="0" simplePos="0" locked="0" layoutInCell="0" allowOverlap="1" relativeHeight="31">
                <wp:simplePos x="0" y="0"/>
                <wp:positionH relativeFrom="column">
                  <wp:posOffset>5080</wp:posOffset>
                </wp:positionH>
                <wp:positionV relativeFrom="paragraph">
                  <wp:posOffset>-48895</wp:posOffset>
                </wp:positionV>
                <wp:extent cx="3992245" cy="2743835"/>
                <wp:effectExtent l="635" t="635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7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67150" cy="2156460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15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 Функция f(x), использующая табличные значения для вычисления синуса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.4pt;margin-top:-3.85pt;width:314.3pt;height:21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67150" cy="2156460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150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7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>.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 Функция f(x), использующая табличные значения для вычисления синуса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5080</wp:posOffset>
                </wp:positionH>
                <wp:positionV relativeFrom="paragraph">
                  <wp:posOffset>2613660</wp:posOffset>
                </wp:positionV>
                <wp:extent cx="3992245" cy="2666365"/>
                <wp:effectExtent l="635" t="635" r="0" b="0"/>
                <wp:wrapSquare wrapText="largest"/>
                <wp:docPr id="8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66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48735" cy="215455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735" cy="2154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Функция f(x) с применением интерполяции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white" stroked="f" o:allowincell="f" style="position:absolute;margin-left:0.4pt;margin-top:205.8pt;width:314.3pt;height:209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48735" cy="215455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735" cy="2154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8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Функция f(x) с применением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26" w:name="__RefHeading___Toc2126_159550679"/>
      <w:bookmarkStart w:id="27" w:name="_Toc157546333"/>
      <w:bookmarkEnd w:id="26"/>
      <w:r>
        <w:rPr>
          <w:lang w:val="ru-RU"/>
        </w:rPr>
        <w:t>3.2 Ряд Тейлора</w:t>
      </w:r>
      <w:bookmarkEnd w:id="27"/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Продифференцируем данный многочлен n раз: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>,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 т. д. Тогда: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>. Подставим это в изначальное определение f(x):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Данное выражение называется формулой Маклорена. Это частный случай при x = 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mc:AlternateContent>
          <mc:Choice Requires="wps">
            <w:drawing>
              <wp:anchor behindDoc="0" distT="0" distB="635" distL="0" distR="635" simplePos="0" locked="0" layoutInCell="0" allowOverlap="1" relativeHeight="22">
                <wp:simplePos x="0" y="0"/>
                <wp:positionH relativeFrom="column">
                  <wp:posOffset>2716530</wp:posOffset>
                </wp:positionH>
                <wp:positionV relativeFrom="paragraph">
                  <wp:posOffset>518160</wp:posOffset>
                </wp:positionV>
                <wp:extent cx="3204210" cy="3501390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360" cy="350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035935" cy="303593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935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Ряд Меркатора при n = 1, 2, 3, 10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213.9pt;margin-top:40.8pt;width:252.25pt;height:275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035935" cy="303593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935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Ряд Меркатора при n = 1, 2, 3, 10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 — точка a.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  <w:lang w:val="ru-RU"/>
        </w:rPr>
        <w:t xml:space="preserve"> называется рядом Меркатора.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  <w:lang w:val="ru-RU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  <w:lang w:val="ru-RU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Воспользуемся формулой Маклорена зная, что: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rFonts w:cs="Times New Roman"/>
          <w:lang w:val="ru-RU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;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  <w:lang w:val="ru-RU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635" distL="0" distR="635" simplePos="0" locked="0" layoutInCell="0" allowOverlap="1" relativeHeight="35">
                <wp:simplePos x="0" y="0"/>
                <wp:positionH relativeFrom="column">
                  <wp:posOffset>-10160</wp:posOffset>
                </wp:positionH>
                <wp:positionV relativeFrom="paragraph">
                  <wp:posOffset>626745</wp:posOffset>
                </wp:positionV>
                <wp:extent cx="5935980" cy="5015230"/>
                <wp:effectExtent l="0" t="0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040" cy="501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22645" cy="451866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2645" cy="451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Графики рядов Тейлора для вычисления синуса при n ∈ [1, 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-0.8pt;margin-top:49.35pt;width:467.35pt;height:394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22645" cy="451866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2645" cy="451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10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Графики рядов Тейлора для вычисления синуса при n ∈ [1, 4]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70"/>
        <w:rPr>
          <w:lang w:val="ru-RU"/>
        </w:rPr>
      </w:pPr>
      <w:bookmarkStart w:id="28" w:name="__RefHeading___Toc2025_3274671837"/>
      <w:bookmarkStart w:id="29" w:name="_Toc157546334"/>
      <w:bookmarkEnd w:id="28"/>
      <w:r>
        <w:rPr>
          <w:lang w:val="ru-RU"/>
        </w:rPr>
        <w:t>3.3 CORDIC</w:t>
      </w:r>
      <w:bookmarkEnd w:id="2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CORDIC (</w:t>
      </w:r>
      <w:r>
        <w:rPr>
          <w:rFonts w:cs="Times New Roman"/>
          <w:color w:val="000000"/>
          <w:lang w:val="ru-RU"/>
        </w:rPr>
        <w:t>CO</w:t>
      </w:r>
      <w:r>
        <w:rPr>
          <w:rFonts w:cs="Times New Roman"/>
          <w:lang w:val="ru-RU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а абсцисса —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. Используя формулы 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>
          <w:lang w:val="ru-RU"/>
        </w:rPr>
        <w:t xml:space="preserve"> </w:t>
      </w:r>
      <w:r>
        <w:rPr>
          <w:rFonts w:cs="Times New Roman"/>
          <w:lang w:val="ru-RU"/>
        </w:rPr>
        <w:t xml:space="preserve">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как общий множитель: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Идея данного метода заключается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  <w:lang w:val="ru-RU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</w:t>
      </w:r>
      <w:r>
        <w:rPr/>
      </w:r>
      <m:oMath xmlns:m="http://schemas.openxmlformats.org/officeDocument/2006/math">
        <m:r>
          <m:t xml:space="preserve">i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  <w:lang w:val="ru-RU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можно вынести в конец вычислений как заранее вычисленную константу.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На таблице 1 представлены углы вращения CORDIC алгоритма и их тангенсы.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20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9"/>
        <w:gridCol w:w="1110"/>
      </w:tblGrid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ru-RU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45°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1/2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26.565°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1/4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14.036° 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1/8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30" w:name="__RefHeading___Toc2027_3274671837"/>
      <w:bookmarkStart w:id="31" w:name="_Toc157546335"/>
      <w:bookmarkEnd w:id="30"/>
      <w:r>
        <w:rPr>
          <w:rFonts w:cs="Times New Roman"/>
          <w:lang w:val="ru-RU"/>
        </w:rPr>
        <w:t>Глава IV. Практическая часть.</w:t>
      </w:r>
      <w:bookmarkEnd w:id="31"/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 xml:space="preserve">Перейдём к программной реализации изученных методов вычисления синуса. Язык программирования — С++. Ссылка на репозиторий GitHub, где можно найти все исходные файлы: </w:t>
      </w:r>
      <w:hyperlink r:id="rId22">
        <w:r>
          <w:rPr>
            <w:rStyle w:val="Hyperlink"/>
            <w:rFonts w:cs="Times New Roman"/>
            <w:lang w:val="ru-RU"/>
          </w:rPr>
          <w:t>https://github.com/DuyhaBeitz/ComputingSine</w:t>
        </w:r>
      </w:hyperlink>
      <w:r>
        <w:rPr>
          <w:rStyle w:val="Hyperlink"/>
          <w:rFonts w:cs="Times New Roman"/>
          <w:lang w:val="ru-RU"/>
        </w:rPr>
        <w:t>/</w:t>
      </w:r>
    </w:p>
    <w:p>
      <w:pPr>
        <w:pStyle w:val="BodyText"/>
        <w:rPr/>
      </w:pPr>
      <w:r>
        <w:rPr>
          <w:lang w:val="ru-RU"/>
        </w:rPr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</w:t>
      </w:r>
      <w:hyperlink r:id="rId23">
        <w:r>
          <w:rPr>
            <w:rStyle w:val="Hyperlink"/>
            <w:lang w:val="ru-RU"/>
          </w:rPr>
          <w:t>basic_math.cpp</w:t>
        </w:r>
      </w:hyperlink>
      <w:r>
        <w:rPr>
          <w:lang w:val="ru-RU"/>
        </w:rPr>
        <w:t>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32" w:name="__RefHeading___Toc2029_3274671837"/>
      <w:bookmarkStart w:id="33" w:name="_Toc157546336"/>
      <w:bookmarkEnd w:id="32"/>
      <w:r>
        <w:rPr>
          <w:lang w:val="ru-RU"/>
        </w:rPr>
        <w:t>4.1 Встроенная функция</w:t>
      </w:r>
      <w:bookmarkEnd w:id="33"/>
    </w:p>
    <w:p>
      <w:pPr>
        <w:pStyle w:val="BodyText"/>
        <w:rPr>
          <w:lang w:val="ru-RU"/>
        </w:rPr>
      </w:pPr>
      <w:r>
        <w:rPr>
          <w:lang w:val="ru-RU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ru-RU"/>
        </w:rPr>
        <w:t>&lt;iostream&gt;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ru-RU"/>
        </w:rPr>
        <w:t>&lt;cmath&gt;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>M_PI — это приблизительное значение числа пи. M_PI и sin() определены в заголовочном файле &lt;cmath&gt;. П</w:t>
      </w:r>
      <w:r>
        <w:rPr>
          <w:lang w:val="ru-RU"/>
        </w:rPr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 / 2) = 1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sin(M_PI) = 1.22465e-16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sin(30 degrees) = 0.5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числа пи равен нулю, но т. к. мы используем приблизительное значение пи, мы получаем число,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  <w:lang w:val="ru-RU"/>
        </w:rPr>
        <w:t>. В случае M_PI / 2 произошло округление до 1.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34" w:name="__RefHeading___Toc2031_3274671837"/>
      <w:bookmarkStart w:id="35" w:name="_Toc157546337"/>
      <w:bookmarkEnd w:id="34"/>
      <w:r>
        <w:rPr>
          <w:lang w:val="ru-RU"/>
        </w:rPr>
        <w:t>4.2 Реализация синуса при помощи табличных</w:t>
      </w:r>
      <w:bookmarkEnd w:id="35"/>
      <w:r>
        <w:rPr>
          <w:lang w:val="ru-RU"/>
        </w:rPr>
        <w:t xml:space="preserve"> значений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], синус которого по модулю равен синусу изначального угла.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abs(angle);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Переменная half_period_even означает,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  <w:lang w:val="ru-RU"/>
        </w:rPr>
        <w:t>Эти две функции находятся в файле «</w:t>
      </w:r>
      <w:hyperlink r:id="rId24">
        <w:r>
          <w:rPr>
            <w:rStyle w:val="Hyperlink"/>
            <w:rFonts w:cs="Times New Roman"/>
            <w:lang w:val="ru-RU"/>
          </w:rPr>
          <w:t>sine_helper.cpp</w:t>
        </w:r>
      </w:hyperlink>
      <w:r>
        <w:rPr>
          <w:rFonts w:cs="Times New Roman"/>
          <w:lang w:val="ru-RU"/>
        </w:rPr>
        <w:t>».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0</wp:posOffset>
                </wp:positionH>
                <wp:positionV relativeFrom="paragraph">
                  <wp:posOffset>374015</wp:posOffset>
                </wp:positionV>
                <wp:extent cx="5939790" cy="401955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0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2331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2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29.45pt;width:467.65pt;height:316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2331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2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Схема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Теперь работу функции, использующей табличные значения для вычисления синуса можно показать на блок-схеме (схема 1):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таблицу: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ab/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ab/>
        <w:t>1.0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функцию: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ru-RU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x)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Degrees(reduce_angle(x));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>Функция Radians() конвертирует градусы в радианы, а функция Degrees() — наоборот. Эти две функции определены в файле «</w:t>
      </w:r>
      <w:hyperlink r:id="rId27">
        <w:r>
          <w:rPr>
            <w:rStyle w:val="Hyperlink"/>
            <w:rFonts w:cs="Times New Roman"/>
            <w:lang w:val="ru-RU"/>
          </w:rPr>
          <w:t>basic_math.cpp</w:t>
        </w:r>
      </w:hyperlink>
      <w:r>
        <w:rPr>
          <w:rFonts w:cs="Times New Roman"/>
          <w:lang w:val="ru-RU"/>
        </w:rPr>
        <w:t>»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rPr/>
      </w:pPr>
      <w:r>
        <w:rPr>
          <w:rFonts w:cs="Times New Roman"/>
          <w:lang w:val="ru-RU"/>
        </w:rPr>
        <w:tab/>
        <w:t>С помощью функции draw_func(), определённой в файле «</w:t>
      </w:r>
      <w:hyperlink r:id="rId28">
        <w:r>
          <w:rPr>
            <w:rStyle w:val="Hyperlink"/>
            <w:rFonts w:cs="Times New Roman"/>
            <w:lang w:val="ru-RU"/>
          </w:rPr>
          <w:t>draw_func.cpp</w:t>
        </w:r>
      </w:hyperlink>
      <w:r>
        <w:rPr>
          <w:rFonts w:cs="Times New Roman"/>
          <w:lang w:val="ru-RU"/>
        </w:rPr>
        <w:t>», можно рисовать график функции, передавая её как аргумент. График функции table_sine() выглядит так (рисунок 11):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635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11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reduced_x —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  <w:lang w:val="ru-RU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  <w:lang w:val="ru-RU"/>
        </w:rPr>
        <w:t xml:space="preserve"> и y — ордината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  <w:lang w:val="ru-RU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как частный случай при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lang w:val="ru-RU"/>
        </w:rPr>
        <w:t xml:space="preserve"> (рисунок 12)</w:t>
      </w:r>
      <w:r>
        <w:rPr>
          <w:rFonts w:cs="Times New Roman"/>
          <w:lang w:val="ru-RU"/>
        </w:rPr>
        <w:t>. Для упрощения чтения введём переменные: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2715260</wp:posOffset>
                </wp:positionH>
                <wp:positionV relativeFrom="paragraph">
                  <wp:posOffset>3175</wp:posOffset>
                </wp:positionV>
                <wp:extent cx="3220720" cy="2436495"/>
                <wp:effectExtent l="0" t="635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560" cy="243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06115" cy="1924685"/>
                                  <wp:effectExtent l="0" t="0" r="0" b="0"/>
                                  <wp:docPr id="15" name="Изображение2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2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115" cy="192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Подобные треугольники с высотами y и f(x2)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13.8pt;margin-top:0.25pt;width:253.55pt;height:191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06115" cy="1924685"/>
                            <wp:effectExtent l="0" t="0" r="0" b="0"/>
                            <wp:docPr id="16" name="Изображение2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2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6115" cy="192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12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Подобные треугольники с высотами y и f(x2)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 xml:space="preserve"> — это разность ординат (y_change),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— это коэффициент подобия (k).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  <w:lang w:val="ru-RU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∙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x)</w:t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reduce_angle(x);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(Degrees(reduced_x)));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 xml:space="preserve">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5939790" cy="3556635"/>
                <wp:effectExtent l="0" t="635" r="0" b="0"/>
                <wp:wrapSquare wrapText="largest"/>
                <wp:docPr id="14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6" name="Изображение2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Функция после применения интерполяции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5" path="m0,0l-2147483645,0l-2147483645,-2147483646l0,-2147483646xe" fillcolor="white" stroked="f" o:allowincell="f" style="position:absolute;margin-left:0pt;margin-top:29.15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7" name="Изображение2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Функция после применения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так же принимает значения в радианах. Теперь график функции выглядит так (рисунок 13):</w:t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36" w:name="__RefHeading___Toc2033_3274671837"/>
      <w:bookmarkStart w:id="37" w:name="_Toc157546338"/>
      <w:bookmarkEnd w:id="36"/>
      <w:bookmarkEnd w:id="37"/>
      <w:r>
        <w:rPr>
          <w:lang w:val="ru-RU"/>
        </w:rPr>
        <w:t>4.3 Реализация Ряда Тейлора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 для удобства разобьём на три переменные: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  <w:lang w:val="ru-RU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функцию: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series_value;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Вот как выглядят графики данной функции при n = 1, 2, 3, 4 (рисунок 14, 15, 16, 17 соответственно): </w:t>
      </w:r>
    </w:p>
    <w:p>
      <w:pPr>
        <w:pStyle w:val="BodyText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2963545</wp:posOffset>
                </wp:positionH>
                <wp:positionV relativeFrom="paragraph">
                  <wp:posOffset>2078355</wp:posOffset>
                </wp:positionV>
                <wp:extent cx="2976245" cy="2004060"/>
                <wp:effectExtent l="0" t="0" r="0" b="0"/>
                <wp:wrapSquare wrapText="largest"/>
                <wp:docPr id="15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2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17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17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233.35pt;margin-top:163.65pt;width:234.3pt;height:157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18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17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0</wp:posOffset>
                </wp:positionH>
                <wp:positionV relativeFrom="paragraph">
                  <wp:posOffset>2055495</wp:posOffset>
                </wp:positionV>
                <wp:extent cx="2891155" cy="2026920"/>
                <wp:effectExtent l="0" t="0" r="0" b="0"/>
                <wp:wrapTopAndBottom/>
                <wp:docPr id="16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60" cy="20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64180" cy="1670050"/>
                                  <wp:effectExtent l="0" t="0" r="0" b="0"/>
                                  <wp:docPr id="18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180" cy="16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16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0pt;margin-top:161.85pt;width:227.6pt;height:159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964180" cy="1670050"/>
                            <wp:effectExtent l="0" t="0" r="0" b="0"/>
                            <wp:docPr id="19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180" cy="16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16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2961640</wp:posOffset>
                </wp:positionH>
                <wp:positionV relativeFrom="paragraph">
                  <wp:posOffset>-17145</wp:posOffset>
                </wp:positionV>
                <wp:extent cx="2976245" cy="2004060"/>
                <wp:effectExtent l="0" t="0" r="0" b="0"/>
                <wp:wrapTopAndBottom/>
                <wp:docPr id="17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2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19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15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233.2pt;margin-top:-1.35pt;width:234.3pt;height:157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20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15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-62230</wp:posOffset>
                </wp:positionH>
                <wp:positionV relativeFrom="paragraph">
                  <wp:posOffset>-36195</wp:posOffset>
                </wp:positionV>
                <wp:extent cx="2950845" cy="2019300"/>
                <wp:effectExtent l="0" t="0" r="0" b="0"/>
                <wp:wrapTopAndBottom/>
                <wp:docPr id="18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920" cy="201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50845" cy="1662430"/>
                                  <wp:effectExtent l="0" t="0" r="0" b="0"/>
                                  <wp:docPr id="20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0845" cy="1662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14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n =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-4.9pt;margin-top:-2.85pt;width:232.3pt;height:158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950845" cy="1662430"/>
                            <wp:effectExtent l="0" t="0" r="0" b="0"/>
                            <wp:docPr id="21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0845" cy="1662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14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n =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Чем дальше x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) 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reduce_angle(x);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 рисунке 18 изображён график данной функции с n = 4.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], а также при чересчур больших n, программа прервётся, выдав ошибку. 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783330"/>
                <wp:effectExtent l="0" t="0" r="0" b="0"/>
                <wp:wrapSquare wrapText="largest"/>
                <wp:docPr id="19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78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342640"/>
                                  <wp:effectExtent l="0" t="0" r="0" b="0"/>
                                  <wp:docPr id="21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34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График функции, использующей метод ряда Тейлора для вычисления синуса при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0pt;margin-top:0.05pt;width:467.65pt;height:297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342640"/>
                            <wp:effectExtent l="0" t="0" r="0" b="0"/>
                            <wp:docPr id="22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34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18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График функции, использующей метод ряда Тейлора для вычисления синуса при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38" w:name="__RefHeading___Toc2035_3274671837"/>
      <w:bookmarkStart w:id="39" w:name="_Toc157546339"/>
      <w:bookmarkEnd w:id="38"/>
      <w:r>
        <w:rPr>
          <w:lang w:val="ru-RU"/>
        </w:rPr>
        <w:t>4.4 Реализация метода CORDIC</w:t>
      </w:r>
      <w:bookmarkEnd w:id="39"/>
    </w:p>
    <w:p>
      <w:pPr>
        <w:pStyle w:val="BodyText"/>
        <w:rPr>
          <w:lang w:val="ru-RU"/>
        </w:rPr>
      </w:pPr>
      <w:r>
        <w:rPr>
          <w:lang w:val="ru-RU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Создадим программу, которая выводит углы вращения и константу k —  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>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таблицу, хранящую углы вращения: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...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};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 будет принимать значение в радианах типа double, вращать вектор (1, 0) на углы из таблицы, приближая суммарный угол вращения к входному значению, и возвращать его ординату. Алгоритм работы функции в виде блок-схемы представлен на схеме 2: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-25400</wp:posOffset>
                </wp:positionV>
                <wp:extent cx="5939790" cy="4424045"/>
                <wp:effectExtent l="0" t="635" r="0" b="0"/>
                <wp:wrapSquare wrapText="largest"/>
                <wp:docPr id="2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42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4096385"/>
                                  <wp:effectExtent l="0" t="0" r="0" b="0"/>
                                  <wp:docPr id="22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09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0pt;margin-top:-2pt;width:467.65pt;height:348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4096385"/>
                            <wp:effectExtent l="0" t="0" r="0" b="0"/>
                            <wp:docPr id="23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09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Схема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Определим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против часовой стрелки. Следовательно, направление равно знаку z.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//выбор направления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//вращение вектора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>
          <w:lang w:val="ru-RU"/>
        </w:rPr>
        <w:t>. В файле «</w:t>
      </w:r>
      <w:hyperlink r:id="rId47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>» данная функция использует числа с фиксированной точкой из внешней библиотеки, благодаря чему вычисления происходят быстрее.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/>
      </w:pPr>
      <w:bookmarkStart w:id="40" w:name="__RefHeading___Toc2846_3550923005"/>
      <w:bookmarkEnd w:id="40"/>
      <w:r>
        <w:rPr/>
        <w:t>4.5 Расчёт погрешности</w:t>
      </w:r>
    </w:p>
    <w:p>
      <w:pPr>
        <w:pStyle w:val="BodyText"/>
        <w:rPr/>
      </w:pPr>
      <w:r>
        <w:rPr/>
        <w:tab/>
        <w:t>Получая значения синуса, мы, конечно, должны понимать, что это всего лишь приблизительные значения. Знать погрешность в вычислениях важно по нескольким причинам: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Во-первых, это необходимо для отладки, тестирования работы программы. Если ошибка распределена очень неравномерно или она чересчур велика, значит, программа работает некорректно.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Во-вторых, приемлемая погрешность меняется, в зависимости от ситуации. Где-то нужны сверхточные вычисления, а где-то достаточно и нескольких знаков после запятой. Поэтому понимание ошибки вычислений помогает при выборе метода, алгоритма.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 третьих, изучив погрешность при вычислениях синуса, мы углубим свои познания в данной теме.</w:t>
      </w:r>
    </w:p>
    <w:p>
      <w:pPr>
        <w:pStyle w:val="BodyText"/>
        <w:rPr/>
      </w:pPr>
      <w:r>
        <w:rPr/>
        <w:tab/>
        <w:t xml:space="preserve">Пусть E — абсолютная погрешность, a — настоящее значение, x — приблизительное значение. Тогда </w:t>
      </w:r>
      <w:r>
        <w:rPr/>
      </w:r>
      <m:oMath xmlns:m="http://schemas.openxmlformats.org/officeDocument/2006/math">
        <m:r>
          <m:t xml:space="preserve">E</m:t>
        </m:r>
        <m:r>
          <m:t xml:space="preserve">=</m:t>
        </m:r>
        <m:d>
          <m:dPr>
            <m:begChr m:val="|"/>
            <m:endChr m:val="|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</m:oMath>
      <w:r>
        <w:rPr/>
        <w:t>.</w:t>
      </w:r>
    </w:p>
    <w:p>
      <w:pPr>
        <w:pStyle w:val="BodyText"/>
        <w:rPr/>
      </w:pPr>
      <w:r>
        <w:rPr/>
        <w:tab/>
        <w:t>Чтобы найти абсолютную погрешность, нужно сравнить приблизительные значения с настоящими. Мы будем сравнивать реализованные нами функции с синусом из стандартной библиотеки C++. Данная реализация тоже возвращает приблизительные значения, но её точности достаточно, чтобы считать данные значения настоящими.</w:t>
      </w:r>
    </w:p>
    <w:p>
      <w:pPr>
        <w:pStyle w:val="BodyText"/>
        <w:rPr/>
      </w:pPr>
      <w:r>
        <w:rPr/>
        <w:tab/>
        <w:t>Определим функцию, которая будет сравнивать значения функции — аргумента с реальными значениями синуса в промежутке [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 end</w:t>
      </w:r>
      <w:r>
        <w:rPr/>
        <w:t xml:space="preserve">] с шагом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 и возвращать максимальную абсолютную погрешность</w:t>
      </w:r>
      <w:r>
        <w:rPr/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max_abs_sine_error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max(abs_error,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Функция возвращает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максимальную абсолютную погрешность</w:t>
      </w:r>
      <w:r>
        <w:rPr/>
        <w:t xml:space="preserve"> входной функции на данном промежутке. Её работа показана на схеме 3:</w:t>
      </w:r>
    </w:p>
    <w:p>
      <w:pPr>
        <w:pStyle w:val="BodyText"/>
        <w:rPr/>
      </w:pPr>
      <w:r>
        <w:rPr/>
        <w:tab/>
        <w:t xml:space="preserve">Теперь определим похожую функцию, которая будет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возвращать среднюю абсолютную погрешность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-6350</wp:posOffset>
                </wp:positionH>
                <wp:positionV relativeFrom="paragraph">
                  <wp:posOffset>-26035</wp:posOffset>
                </wp:positionV>
                <wp:extent cx="5939790" cy="4252595"/>
                <wp:effectExtent l="0" t="635" r="0" b="0"/>
                <wp:wrapSquare wrapText="largest"/>
                <wp:docPr id="21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25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877310"/>
                                  <wp:effectExtent l="0" t="0" r="0" b="0"/>
                                  <wp:docPr id="23" name="Изображение2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2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87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максимальную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-0.5pt;margin-top:-2.05pt;width:467.65pt;height:334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877310"/>
                            <wp:effectExtent l="0" t="0" r="0" b="0"/>
                            <wp:docPr id="24" name="Изображение2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2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87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максимальную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avg_abs_sine_error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vector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>//Вычислить и сохранить погрешности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abs_errors.push_back(abs_error);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//Вычислить среднюю погрешность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abs_errors.size();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ab/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  <w:tab/>
      </w:r>
    </w:p>
    <w:p>
      <w:pPr>
        <w:pStyle w:val="BodyText"/>
        <w:rPr/>
      </w:pPr>
      <w:r>
        <w:rPr/>
        <w:tab/>
        <w:t xml:space="preserve">Данная функция сохраняет вычисленные погрешности в вектор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 и вычисляет среднее значение. Её работа показана на схеме 4: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334385"/>
                <wp:effectExtent l="0" t="635" r="0" b="0"/>
                <wp:wrapSquare wrapText="largest"/>
                <wp:docPr id="22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3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949575"/>
                                  <wp:effectExtent l="0" t="0" r="0" b="0"/>
                                  <wp:docPr id="24" name="Изображение2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2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среднюю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0pt;margin-top:0.05pt;width:467.65pt;height:262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2949575"/>
                            <wp:effectExtent l="0" t="0" r="0" b="0"/>
                            <wp:docPr id="25" name="Изображение2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2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среднюю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Определим функцию main() и передадим функцию, использующую метод ряда Тейлора для нахождения синуса, как аргумент функций, вычисляющих среднюю и максимальную погрешности: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start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end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шаг (меньше шаг = больше точность):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ряда Тейлора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  <w:tab/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val="clear" w:fill="F8F8F8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Ввод: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-100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100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(меньше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больше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точность)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666666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0.001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ряда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Тейлора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0.00000000000006725794</w:t>
      </w:r>
    </w:p>
    <w:p>
      <w:pPr>
        <w:pStyle w:val="BodyText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0.00000000000001602842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Расширим программу, добавив расчёт погрешности остальных реализаций синуса:</w:t>
      </w:r>
    </w:p>
    <w:p>
      <w:pPr>
        <w:pStyle w:val="Normal"/>
        <w:shd w:val="clear" w:fill="F8F8F8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 с интерполяцией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CORDIC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val="clear" w:fill="F8F8F8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ряда Тейлора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0.00000000000006725794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0.00000000000001602842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0.01744484061753998755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0.00555724835700854933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 с интерполяцией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0.00015199986023650691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0.00001702724706396529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CORDIC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0.00006102397364653872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0.00001937508578436303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Эти результаты мы обсудим в следующей главе. Данную программу можно найти в файле «</w:t>
      </w:r>
      <w:hyperlink r:id="rId52">
        <w:r>
          <w:rPr>
            <w:rStyle w:val="Hyperlink"/>
          </w:rPr>
          <w:t>test_accuracy.cpp</w:t>
        </w:r>
      </w:hyperlink>
      <w:r>
        <w:rPr/>
        <w:t>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bookmarkStart w:id="41" w:name="__RefHeading___Toc2309_2312925570_Копия_"/>
      <w:bookmarkEnd w:id="41"/>
      <w:r>
        <w:rPr>
          <w:lang w:val="ru-RU"/>
        </w:rPr>
        <w:t>Глава V. Результаты и обсуждение</w:t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2" w:name="__RefHeading___Toc2514_3606187884"/>
      <w:bookmarkEnd w:id="42"/>
      <w:r>
        <w:rPr>
          <w:lang w:val="ru-RU"/>
        </w:rPr>
        <w:t>5.1 Итоги теоретической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теоретической части мы познакомились со следующими понятиями: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радиан,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синус угла, синус числа,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единичная окружность, числовая окружность,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синусоида, правильная синусоида,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чётная, нечётная функция,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периодическая функция, период, основной период,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уменьшение диапазона,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производная функции, дифференцирование,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интерполяция, линейная интерполяция,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ряд Тейлора, ряд Меркатора, ряд Маклорена,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>Узнали следующие свойства синуса: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его область определения и область значения,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нечётность синуса,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периодичность синуса, его основной период,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производные синуса,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симметричность синусоиды.</w:t>
      </w:r>
    </w:p>
    <w:p>
      <w:pPr>
        <w:pStyle w:val="BodyText"/>
        <w:rPr>
          <w:lang w:val="ru-RU"/>
        </w:rPr>
      </w:pPr>
      <w:r>
        <w:rPr>
          <w:lang w:val="ru-RU"/>
        </w:rPr>
        <w:t>А также проанализировали следующие методы вычисления синуса: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 xml:space="preserve">Табличные значения, 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Ряд Тейлора,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теоретической части нашего изучения синуса и связанных с ним понятий, мы можем сделать несколько ключевых выводов. Познакомившись с различными аспектами синусоиды, мы приобрели фундаментальные знания, которые охватывают теоретические аспекты математики и инженерии.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Во-первых, мы изучили базовые свойства синуса, такие как его область определения, нечётность, периодичность, и производные. Эти свойства являются основой для понимания его поведения и применения в различных дисциплинах, включая физику, инженерию, и информационные технологии.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Во-вторых, методы вычисления синуса, такие как табличные значения, ряды Тейлора и CORDIC, предоставили нам инструменты для эффективного приближенного определения значения синуса. Эти методы имеют практическое применение в программировании, обработке сигналов и других областях, где необходимо быстро и точно вычислять тригонометрические функции.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данной работы мы вплотную приблизились к достижению цели, выполнив следующие, поставленные задачи: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дали определение функции синус,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описали свойства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рассмотрели основные методы вычисления синуса,</w:t>
      </w:r>
    </w:p>
    <w:p>
      <w:pPr>
        <w:pStyle w:val="Heading2"/>
        <w:numPr>
          <w:ilvl w:val="0"/>
          <w:numId w:val="0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3" w:name="__RefHeading___Toc2516_3606187884"/>
      <w:bookmarkEnd w:id="43"/>
      <w:r>
        <w:rPr>
          <w:lang w:val="ru-RU"/>
        </w:rPr>
        <w:t>5.2 Итоги практической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практической части работы мы успешно применили полученные теоретические знания для реализации различных методов вычисления синуса. Это позволило нам не только углубить понимание теории, но и приобрести навыки, необходимые для решения подобных задач.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Были реализованы следующие методы: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Табличные значения: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 xml:space="preserve">Для данного метода мы создали набор заранее вычисленных значений синуса для ограниченного диапазона углов. Этот метод предоставил быстрый доступ к значению синуса, но требует большого объёма памяти для хранения таблицы. 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Ряд Тейлора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Реализация ряда Тейлора позволила нам приближённо вычислять синус, используя его разложение в бесконечный ряд. Этот метод предоставляет гибкость и точность при корректном управлении числом учтённых членов, но также требует дополнительных вычислительных ресурсов.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CORDIC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Мы также ознакомились с методом CORDIC (COordinate Rotation DIgital Computer), который использует итеративные вращения для вычисления синуса. Этот метод эффективен в вычислительно ограниченных средах, таких как микроконтроллеры, и обеспечивает высокую скорость вычислений.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После реализации изученных методов мы создали программу test_accuracy, вычисляющую максимальную и среднюю погрешности. Наконец, пришло время обсудить результаты,  полученные в пункте 4.5. Данные результаты представлены в виде таблицы (таблица 2):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start"/>
        <w:rPr/>
      </w:pPr>
      <w:r>
        <w:rPr>
          <w:b w:val="false"/>
          <w:bCs w:val="false"/>
          <w:i w:val="false"/>
          <w:iCs w:val="false"/>
        </w:rPr>
        <w:t>Таблица</w:t>
      </w:r>
      <w:r>
        <w:rPr/>
        <w:t xml:space="preserve">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2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Название метода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Максимальная погрешность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Средняя погрешность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ряд Тейлора (9 учтённых членов)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0.00000000000006725794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0.00000000000001602842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CORDIC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0.00006102397364653872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0.00001937508578436303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 с интерполяцией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0.00015199986023650691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0.00001702724706396529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0.01744484061753998755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0.00555724835700854933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ab/>
        <w:t>Методы расположены в порядке возрастания ошибки (убывания точности). В целом, результаты полностью ожидаемы. Самым точным оказался метод ряда Тейлора. Его точность зависит от количества учтённых членов n. Вот как выглядит график данной зависимости при n от 1 до 6 и от 6 до 12 (рисунок 19 и 20 соответственно):</w:t>
      </w:r>
    </w:p>
    <w:p>
      <w:pPr>
        <w:pStyle w:val="BodyText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-67945</wp:posOffset>
                </wp:positionV>
                <wp:extent cx="5939790" cy="4155440"/>
                <wp:effectExtent l="0" t="0" r="0" b="0"/>
                <wp:wrapSquare wrapText="largest"/>
                <wp:docPr id="23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15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52520"/>
                                  <wp:effectExtent l="0" t="0" r="0" b="0"/>
                                  <wp:docPr id="25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52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[1; 6]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path="m0,0l-2147483645,0l-2147483645,-2147483646l0,-2147483646xe" fillcolor="white" stroked="f" o:allowincell="f" style="position:absolute;margin-left:0pt;margin-top:-5.35pt;width:467.65pt;height:327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52520"/>
                            <wp:effectExtent l="0" t="0" r="0" b="0"/>
                            <wp:docPr id="26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52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19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[1; 6]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4199890</wp:posOffset>
                </wp:positionV>
                <wp:extent cx="5939790" cy="3997325"/>
                <wp:effectExtent l="0" t="635" r="0" b="0"/>
                <wp:wrapSquare wrapText="largest"/>
                <wp:docPr id="24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9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star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494405"/>
                                  <wp:effectExtent l="0" t="0" r="0" b="0"/>
                                  <wp:docPr id="26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[6; 12]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0pt;margin-top:330.7pt;width:467.65pt;height:3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start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494405"/>
                            <wp:effectExtent l="0" t="0" r="0" b="0"/>
                            <wp:docPr id="27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20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[6; 12]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rPr/>
      </w:pPr>
      <w:r>
        <w:rPr>
          <w:lang w:val="ru-RU"/>
        </w:rPr>
        <w:tab/>
        <w:t xml:space="preserve">Очевидно, что при росте n ошибка уменьшается. </w:t>
        <w:tab/>
        <w:t>Но можно также заметить, что с каждым следующим n рост точности замедляется, то есть каждый следующий член ряда вносит всё меньшее изменение. Это ещё одна причина почему не стоит давать n слишком большое значение, ведь точность вычислений при n = 10 и при n = 15 примерно одинаковая, но во втором случае скорость значительно  падает.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Следом за рядом Тейлора — CORIC метод. Конечно, можно добиться лучших результатов с большим количеством итераций. Но данный метод лучше использовать в случаях, когда вычисления должны быть быстрыми и эффективными, а не сверхточными. Поэтому 15 итераций мне показалось достаточно.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Самым неточным методом окзались табличные значения. Этот метод не для точных вычислений. Его можно использовать в ситуациях, когда системные ресурсы очень ограничены или когда о функции ничего не известно, кроме принадлежащих ей точек. Тогда используют интерполяцию.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Говоря об интерполяции, стоит отметить, что её использование уменьшило погрешность на порядок. На самом деле, метод табличных значений обычно даже не рассматривается без интерполяции. </w:t>
      </w:r>
    </w:p>
    <w:p>
      <w:pPr>
        <w:pStyle w:val="BodyText"/>
        <w:rPr/>
      </w:pPr>
      <w:r>
        <w:rPr>
          <w:lang w:val="ru-RU"/>
        </w:rPr>
        <w:tab/>
        <w:t xml:space="preserve">Для удобства был создан репозиторий на  GitHub URL: ( </w:t>
      </w:r>
      <w:hyperlink r:id="rId57">
        <w:r>
          <w:rPr>
            <w:rStyle w:val="Hyperlink"/>
            <w:lang w:val="ru-RU"/>
          </w:rPr>
          <w:t>https://github.com/DuyhaBeitz/ComputingSine/</w:t>
        </w:r>
      </w:hyperlink>
      <w:r>
        <w:rPr>
          <w:lang w:val="ru-RU"/>
        </w:rPr>
        <w:t>), где можно найти все исходные файлы.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 помощью инструментов make и cmake можно собрать две программы. Первая —  draw_all_funcs — программа, которая локально создаёт директорию Images, и в ней создаёт графики пяти функций — реализаций синуса в промежутке от [-4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; 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]: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1. CORDIC метод, использующий числа с плавающей запятой. Данную реализацию можно найти в файле «</w:t>
      </w:r>
      <w:hyperlink r:id="rId58">
        <w:r>
          <w:rPr>
            <w:rStyle w:val="Hyperlink"/>
            <w:lang w:val="ru-RU"/>
          </w:rPr>
          <w:t>cordic.cpp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2. CORDIC метод, использующий числа с фиксированной запятой. Данная реализация не многим отличается от предыдущей, вся разница в представлении чисел. CORDIC алгоритм использует операцию битового сдвига для чисел с фиксированной запятой, но так как C++ не имеет стандартного представления таких чисел, было решено оставить технические подробности в угоду наглядности, описав только более простой вариант. Данную реализацию можно найти в файле «</w:t>
      </w:r>
      <w:hyperlink r:id="rId59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3. Табличные значения без интерполяции.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4. Табличные значения с применением интерполяции. Данную и предыдущую реализации можно найти в файле «</w:t>
      </w:r>
      <w:hyperlink r:id="rId60">
        <w:r>
          <w:rPr>
            <w:rStyle w:val="Hyperlink"/>
            <w:lang w:val="ru-RU"/>
          </w:rPr>
          <w:t>table_sine.cpp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rFonts w:cs="Times New Roman"/>
          <w:lang w:val="ru-RU" w:eastAsia="zh-CN" w:bidi="hi-IN"/>
        </w:rPr>
        <w:tab/>
        <w:t>5. Ряд Тейлора. Количество учтённых членов — 9. Данную реализацию можно найти в файле «</w:t>
      </w:r>
      <w:hyperlink r:id="rId61">
        <w:r>
          <w:rPr>
            <w:rStyle w:val="Hyperlink"/>
          </w:rPr>
          <w:t>taylor_series_sine.cpp</w:t>
        </w:r>
      </w:hyperlink>
      <w:r>
        <w:rPr>
          <w:rStyle w:val="Hyperlink"/>
          <w:color w:val="000000"/>
          <w:lang w:val="ru-RU" w:eastAsia="zh-CN" w:bidi="hi-IN"/>
        </w:rPr>
        <w:t>».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Вторая программа — test_accuracy. Она выводит максимальные и средние погрешности тех же реализованных методов вычисления синуса. Пользователь задаёт промежуток, на котором происходят вычисления а также шаг (минимальное расстояние между абсциссами), с которым эти вычисления производятся.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Данные программы не являются основным продуктом проекта, а скорее дополняют изучение методов вычисления синуса. С помощью них, ученик, студент, учитель или просто заинтересованный человек могут углубить свои знания в данной теме, что является главной целью проекта.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Полученные в ходе практической части навыки реализации методов вычисления синуса предоставляют нам ценный опыт, который можно применить в широком спектре областей, включая программирование, инженерию и научные исследования. Этот опыт будет служить нам в будущем при решении реальных задач, где требуется эффективное и точное вычисление тригонометрических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Итак, выполнив последнюю задачу, а именно реализовав изученные методы, мы наконец достигли цели проекта — </w:t>
      </w:r>
      <w:r>
        <w:rPr>
          <w:rFonts w:cs="Times New Roman"/>
          <w:lang w:val="ru-RU"/>
        </w:rPr>
        <w:t>изучили основные методы для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4" w:name="__RefHeading___Toc2563_468351346"/>
      <w:bookmarkEnd w:id="44"/>
      <w:r>
        <w:rPr>
          <w:lang w:val="ru-RU"/>
        </w:rPr>
        <w:t>5.3 Выводы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Важно отметить, что все реализации приведённые в данном проекте служат для демонстрации идеи метода, его работы и не включают никаких значительных дополнений, оптимизаций. Хорошая реализация, как например синус в стандартной библиотеке C++, использует комбинацию разных методов и множество приёмов для оптимизации её работы. Она также является кроссплатформенной, что значит, что она работает на абсолютно разных устройствах, девайсах и системах, сохраняя при этом свою эффективность. Поэтому создание качественной, готовой для реального использования реализации — это отнюдь не простая задача, предназначенная для опытных инженеров.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Мы же познакомились с основными методами вычисления, реализациями синуса, которые являются применимыми и для многих других сложных, трансцендентных функций. Например, разложение функции в ряд — важный для понимания численный метод, применимый практически для любой дифференцируемой функции, а CORDIC метод может быть  использован для нахождения значений гиперболических, показательных и  логарифмических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Данная работа может быть продолжена в следующих направлениях: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ошибки. В данном направлении можно попытаться ответить на такие вопросы как: «В каких методах ошибка распределена наиболее равномерно?», «Как изменяется накопляемая ошибка в зависимости от количества итераций, длинны мантиссы, представления числа?», «Как задать минимальную необходимую точность вычислений?» и др.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Способы оптимизации вычислений. В данном направлении каждый из методов рассматривается досконально для выявления изъянов, возможностей для улучшения.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других методов вычисления синуса. Существуют и другие популярные, эффективные методы вычисления синуса. Например, с помощью многочленов Чебышева, что является ещё одним численным методом, можно наиболее эффективно разложить функцию на многочлен на данной области определения.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>Тема вычислений трансцендентных функций не заканчивается на тригонометрических функциях. Можно изучить способы вычисления гамма-функции, гиперболических функций, обратных тригонометрических функций и др.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Обобщая наши результаты, можно отметить, что каждый из методов имеет свои преимущества и недостатки в зависимости от контекста применения. Выбор метода будет зависеть от требований к точности, вычислительным ресурсам и ограничениям системы.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хочу поблагодарить Ибрагимову Нурай Афиг кызы за консультирование работы.</w:t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bookmarkStart w:id="45" w:name="__RefHeading___Toc2311_2312925570"/>
      <w:bookmarkEnd w:id="45"/>
      <w:r>
        <w:rPr>
          <w:lang w:val="ru-RU"/>
        </w:rPr>
        <w:t>Список литературы</w:t>
      </w:r>
    </w:p>
    <w:p>
      <w:pPr>
        <w:pStyle w:val="BodyText"/>
        <w:jc w:val="start"/>
        <w:rPr/>
      </w:pPr>
      <w:r>
        <w:rPr>
          <w:i w:val="false"/>
          <w:iCs w:val="false"/>
          <w:lang w:val="ru-RU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62">
        <w:r>
          <w:rPr>
            <w:rStyle w:val="Hyperlink"/>
            <w:i w:val="false"/>
            <w:iCs w:val="false"/>
            <w:lang w:val="ru-RU"/>
          </w:rPr>
          <w:t>https://cyberleninka.ru/article/n/issledovanie-chislennyh-metodov-dlya-sinusa-i-kosinusa</w:t>
        </w:r>
      </w:hyperlink>
      <w:r>
        <w:rPr>
          <w:i w:val="false"/>
          <w:iCs w:val="false"/>
          <w:lang w:val="ru-RU"/>
        </w:rPr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Производные и дифференциалы [Текст]: Справочные материалы / /</w:t>
      </w:r>
    </w:p>
    <w:p>
      <w:pPr>
        <w:pStyle w:val="BodyText"/>
        <w:rPr/>
      </w:pPr>
      <w:r>
        <w:rPr/>
        <w:t>О.В.Шаляпина, Т.А.Уланова, В.С.Капитонов - СПб.: СПбГТИ(ТУ),2012 - 18с</w:t>
      </w:r>
    </w:p>
    <w:p>
      <w:pPr>
        <w:pStyle w:val="BodyText"/>
        <w:rPr/>
      </w:pPr>
      <w:r>
        <w:rPr/>
      </w:r>
    </w:p>
    <w:p>
      <w:pPr>
        <w:pStyle w:val="BodyText"/>
        <w:jc w:val="start"/>
        <w:rPr/>
      </w:pPr>
      <w:r>
        <w:rPr>
          <w:lang w:val="ru-RU"/>
        </w:rPr>
        <w:t>Формулы Маклорена и Тейлора [Электронный ресурс], — (</w:t>
      </w:r>
      <w:hyperlink r:id="rId63">
        <w:r>
          <w:rPr>
            <w:rStyle w:val="Hyperlink"/>
            <w:lang w:val="ru-RU"/>
          </w:rPr>
          <w:t>https://www.webmath.ru/poleznoe/formules_8_19.php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Ряд Меркатора [Электронный ресурс], — (</w:t>
      </w:r>
      <w:hyperlink r:id="rId64">
        <w:r>
          <w:rPr>
            <w:rStyle w:val="Hyperlink"/>
            <w:lang w:val="ru-RU"/>
          </w:rPr>
          <w:t>https://ru.wikipedia.org/wiki/Ряд_Меркатора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Ряд Тейлора [Электронный ресурс], — (</w:t>
      </w:r>
      <w:hyperlink r:id="rId65">
        <w:r>
          <w:rPr>
            <w:rStyle w:val="Hyperlink"/>
            <w:lang w:val="ru-RU"/>
          </w:rPr>
          <w:t>https://ru.wikipedia.org/wiki/Ряд_Тейлора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1"/>
        </w:numPr>
        <w:ind w:start="0" w:end="0"/>
        <w:jc w:val="start"/>
        <w:rPr/>
      </w:pPr>
      <w:r>
        <w:rPr>
          <w:lang w:val="ru-RU"/>
        </w:rPr>
        <w:t>Производная функции [Электронный ресурс], — (</w:t>
      </w:r>
      <w:r>
        <w:rPr>
          <w:rStyle w:val="Hyperlink"/>
          <w:lang w:val="ru-RU"/>
        </w:rPr>
        <w:t>https://ru.wikipedia.org/wiki/Производная_функции</w:t>
      </w:r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CORDIC [Электронный ресурс], — (</w:t>
      </w:r>
      <w:hyperlink r:id="rId66">
        <w:r>
          <w:rPr>
            <w:rStyle w:val="Hyperlink"/>
            <w:lang w:val="ru-RU"/>
          </w:rPr>
          <w:t>https://ru.wikipedia.org/wiki/CORDIC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Approximating sin(x) to 5 ULP with Chebyshev polynomials [Электронный ресурс], — (</w:t>
      </w:r>
      <w:hyperlink r:id="rId67">
        <w:r>
          <w:rPr>
            <w:rStyle w:val="Hyperlink"/>
            <w:lang w:val="ru-RU"/>
          </w:rPr>
          <w:t>https://mooooo.ooo/chebyshev-sine-approximation/</w:t>
        </w:r>
      </w:hyperlink>
      <w:r>
        <w:rPr>
          <w:lang w:val="ru-RU"/>
        </w:rPr>
        <w:t>).</w:t>
      </w:r>
    </w:p>
    <w:p>
      <w:pPr>
        <w:pStyle w:val="BodyText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jc w:val="start"/>
        <w:rPr/>
      </w:pPr>
      <w:r>
        <w:rPr>
          <w:lang w:val="ru-RU"/>
        </w:rPr>
        <w:t>CORDIC Algorithm [Электронный ресурс], — (</w:t>
      </w:r>
      <w:hyperlink r:id="rId68">
        <w:r>
          <w:rPr>
            <w:rStyle w:val="Hyperlink"/>
            <w:lang w:val="ru-RU"/>
          </w:rPr>
          <w:t>https://youtu.be/m1e8IbDsIKw?si=UuKnD7S3-xcOGWHW</w:t>
        </w:r>
      </w:hyperlink>
      <w:r>
        <w:rPr>
          <w:lang w:val="ru-RU"/>
        </w:rPr>
        <w:t>).</w:t>
      </w:r>
    </w:p>
    <w:p>
      <w:pPr>
        <w:pStyle w:val="BodyText"/>
        <w:spacing w:before="0" w:after="142"/>
        <w:rPr>
          <w:lang w:val="ru-RU"/>
        </w:rPr>
      </w:pPr>
      <w:r>
        <w:rPr>
          <w:lang w:val="ru-RU"/>
        </w:rPr>
      </w:r>
    </w:p>
    <w:sectPr>
      <w:footerReference w:type="default" r:id="rId69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ru-RU"/>
      </w:rPr>
    </w:pPr>
    <w:bookmarkStart w:id="46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46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851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1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1"/>
      </w:numPr>
      <w:spacing w:before="198" w:after="170"/>
      <w:outlineLvl w:val="1"/>
    </w:pPr>
    <w:rPr>
      <w:bCs/>
      <w:sz w:val="28"/>
      <w:szCs w:val="32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6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Мой заголовок"/>
    <w:basedOn w:val="Heading2"/>
    <w:qFormat/>
    <w:pPr>
      <w:jc w:val="center"/>
      <w:outlineLvl w:val="9"/>
    </w:pPr>
    <w:rPr/>
  </w:style>
  <w:style w:type="paragraph" w:styleId="Style18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9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9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20">
    <w:name w:val="Фигура"/>
    <w:basedOn w:val="Caption1"/>
    <w:qFormat/>
    <w:pPr/>
    <w:rPr/>
  </w:style>
  <w:style w:type="paragraph" w:styleId="Style21">
    <w:name w:val="Рисунок"/>
    <w:basedOn w:val="Caption1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4">
    <w:name w:val="Схема"/>
    <w:basedOn w:val="Caption"/>
    <w:qFormat/>
    <w:pPr/>
    <w:rPr/>
  </w:style>
  <w:style w:type="paragraph" w:styleId="Style25">
    <w:name w:val="Таблица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hyperlink" Target="https://github.com/DuyhaBeitz/ComputingSine/tree/main" TargetMode="External"/><Relationship Id="rId23" Type="http://schemas.openxmlformats.org/officeDocument/2006/relationships/hyperlink" Target="https://github.com/DuyhaBeitz/ComputingSine/blob/main/Code/Utilities/basic_math.cpp" TargetMode="External"/><Relationship Id="rId24" Type="http://schemas.openxmlformats.org/officeDocument/2006/relationships/hyperlink" Target="https://github.com/DuyhaBeitz/ComputingSine/blob/main/Code/Utilities/sine_helper.cpp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/><Relationship Id="rId27" Type="http://schemas.openxmlformats.org/officeDocument/2006/relationships/hyperlink" Target="https://github.com/DuyhaBeitz/ComputingSine/blob/main/Code/Utilities/basic_math.cpp" TargetMode="External"/><Relationship Id="rId28" Type="http://schemas.openxmlformats.org/officeDocument/2006/relationships/hyperlink" Target="https://github.com/DuyhaBeitz/ComputingSine/blob/main/Code/DrawFunctions/draw_func.cpp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0.png"/><Relationship Id="rId47" Type="http://schemas.openxmlformats.org/officeDocument/2006/relationships/hyperlink" Target="https://github.com/DuyhaBeitz/ComputingSine/blob/main/Code/Sine_functions/cordic_fixed_point.cpp" TargetMode="External"/><Relationship Id="rId48" Type="http://schemas.openxmlformats.org/officeDocument/2006/relationships/image" Target="media/image21.png"/><Relationship Id="rId49" Type="http://schemas.openxmlformats.org/officeDocument/2006/relationships/image" Target="media/image21.png"/><Relationship Id="rId50" Type="http://schemas.openxmlformats.org/officeDocument/2006/relationships/image" Target="media/image22.png"/><Relationship Id="rId51" Type="http://schemas.openxmlformats.org/officeDocument/2006/relationships/image" Target="media/image22.png"/><Relationship Id="rId52" Type="http://schemas.openxmlformats.org/officeDocument/2006/relationships/hyperlink" Target="https://github.com/DuyhaBeitz/ComputingSine/blob/main/Code/test_accuracy/test_accuracy.cpp" TargetMode="External"/><Relationship Id="rId53" Type="http://schemas.openxmlformats.org/officeDocument/2006/relationships/image" Target="media/image23.png"/><Relationship Id="rId54" Type="http://schemas.openxmlformats.org/officeDocument/2006/relationships/image" Target="media/image23.png"/><Relationship Id="rId55" Type="http://schemas.openxmlformats.org/officeDocument/2006/relationships/image" Target="media/image24.png"/><Relationship Id="rId56" Type="http://schemas.openxmlformats.org/officeDocument/2006/relationships/image" Target="media/image24.png"/><Relationship Id="rId57" Type="http://schemas.openxmlformats.org/officeDocument/2006/relationships/hyperlink" Target="https://github.com/DuyhaBeitz/ComputingSine/" TargetMode="External"/><Relationship Id="rId58" Type="http://schemas.openxmlformats.org/officeDocument/2006/relationships/hyperlink" Target="https://github.com/DuyhaBeitz/ComputingSine/blob/main/Code/Sine_functions/cordic.cpp" TargetMode="External"/><Relationship Id="rId59" Type="http://schemas.openxmlformats.org/officeDocument/2006/relationships/hyperlink" Target="https://github.com/DuyhaBeitz/ComputingSine/blob/main/Code/Sine_functions/cordic_fixed_point.cpp" TargetMode="External"/><Relationship Id="rId60" Type="http://schemas.openxmlformats.org/officeDocument/2006/relationships/hyperlink" Target="https://github.com/DuyhaBeitz/ComputingSine/blob/main/Code/Sine_functions/table_sine.cpp" TargetMode="External"/><Relationship Id="rId61" Type="http://schemas.openxmlformats.org/officeDocument/2006/relationships/hyperlink" Target="https://github.com/DuyhaBeitz/ComputingSine/blob/main/Code/Sine_functions/taylor_series_sine.cpp" TargetMode="External"/><Relationship Id="rId62" Type="http://schemas.openxmlformats.org/officeDocument/2006/relationships/hyperlink" Target="https://cyberleninka.ru/article/n/issledovanie-chislennyh-metodov-dlya-sinusa-i-kosinusa" TargetMode="External"/><Relationship Id="rId63" Type="http://schemas.openxmlformats.org/officeDocument/2006/relationships/hyperlink" Target="https://www.webmath.ru/poleznoe/formules_8_19.php" TargetMode="External"/><Relationship Id="rId64" Type="http://schemas.openxmlformats.org/officeDocument/2006/relationships/hyperlink" Target="https://ru.wikipedia.org/wiki/&#1056;&#1103;&#1076;_&#1052;&#1077;&#1088;&#1082;&#1072;&#1090;&#1086;&#1088;&#1072;" TargetMode="External"/><Relationship Id="rId65" Type="http://schemas.openxmlformats.org/officeDocument/2006/relationships/hyperlink" Target="https://ru.wikipedia.org/wiki/&#1056;&#1103;&#1076;_&#1058;&#1077;&#1081;&#1083;&#1086;&#1088;&#1072;" TargetMode="External"/><Relationship Id="rId66" Type="http://schemas.openxmlformats.org/officeDocument/2006/relationships/hyperlink" Target="https://ru.wikipedia.org/wiki/CORDIC" TargetMode="External"/><Relationship Id="rId67" Type="http://schemas.openxmlformats.org/officeDocument/2006/relationships/hyperlink" Target="https://mooooo.ooo/chebyshev-sine-approximation/" TargetMode="External"/><Relationship Id="rId68" Type="http://schemas.openxmlformats.org/officeDocument/2006/relationships/hyperlink" Target="https://youtu.be/m1e8IbDsIKw?si=UuKnD7S3-xcOGWHW" TargetMode="Externa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4366</TotalTime>
  <Application>LibreOffice/7.6.2.1$Linux_X86_64 LibreOffice_project/60$Build-1</Application>
  <AppVersion>15.0000</AppVersion>
  <Pages>33</Pages>
  <Words>7882</Words>
  <Characters>36780</Characters>
  <CharactersWithSpaces>42439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2024-03-10T00:33:11Z</cp:lastPrinted>
  <dcterms:modified xsi:type="dcterms:W3CDTF">2024-03-10T16:32:26Z</dcterms:modified>
  <cp:revision>3656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