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9A5" w:rsidRDefault="009E6D25">
      <w:r>
        <w:t>Napoved stroškov</w:t>
      </w:r>
    </w:p>
    <w:p w:rsidR="009E6D25" w:rsidRDefault="00E8436E">
      <w:r>
        <w:t xml:space="preserve">Odhodki so se v zadnjih letih močno povečali, v treh letih, od leta 2016 do 2019 so zrasli za več kot 250% in sicer iz 4999 miljonov evrov do 17892 miljonov evrov. Ker so v tem obdobju rastli približno linearno, smo tako </w:t>
      </w:r>
      <w:r w:rsidR="002A2F98">
        <w:t>napovedali tudi pričakovane odhodke, te naj bi do leta 2022 presegli 30 miljard evrov.</w:t>
      </w:r>
    </w:p>
    <w:p w:rsidR="009E6D25" w:rsidRDefault="009E6D25">
      <w:r>
        <w:rPr>
          <w:noProof/>
          <w:lang w:eastAsia="sl-SI"/>
        </w:rPr>
        <w:drawing>
          <wp:inline distT="0" distB="0" distL="0" distR="0" wp14:anchorId="1DEDFD28" wp14:editId="4E15A8B8">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C48CB" w:rsidRPr="00AC48CB" w:rsidRDefault="00AC48CB">
      <w:pPr>
        <w:rPr>
          <w:i/>
          <w:color w:val="A6A6A6" w:themeColor="background1" w:themeShade="A6"/>
        </w:rPr>
      </w:pPr>
      <w:r w:rsidRPr="00AC48CB">
        <w:rPr>
          <w:i/>
          <w:color w:val="A6A6A6" w:themeColor="background1" w:themeShade="A6"/>
        </w:rPr>
        <w:t xml:space="preserve">Odhodki prikazani </w:t>
      </w:r>
      <w:r w:rsidRPr="00AC48CB">
        <w:rPr>
          <w:i/>
          <w:color w:val="A6A6A6" w:themeColor="background1" w:themeShade="A6"/>
        </w:rPr>
        <w:t>v milijon evrih</w:t>
      </w:r>
    </w:p>
    <w:p w:rsidR="002A2F98" w:rsidRDefault="002A2F98">
      <w:r>
        <w:t>Podobno hitro se povečujejo tudi celotni poslovni odhodki. Med letoma 2016 in 2019 so se namreč povečali iz 7098 miljonov evrov na 21 502 miljonov evrov, podoben linearen trend kot smo ga opazili v tem obdobju lahko pričakujemo tudi v prihodnje, tako bodo celotni poslovni odhodki v letu 2022 presegli 36 milijard evrov.</w:t>
      </w:r>
      <w:r w:rsidR="004468F9">
        <w:t xml:space="preserve"> </w:t>
      </w:r>
    </w:p>
    <w:p w:rsidR="009E6D25" w:rsidRDefault="009E6D25">
      <w:r>
        <w:rPr>
          <w:noProof/>
          <w:lang w:eastAsia="sl-SI"/>
        </w:rPr>
        <w:drawing>
          <wp:inline distT="0" distB="0" distL="0" distR="0" wp14:anchorId="508535C2" wp14:editId="216C3F86">
            <wp:extent cx="4572000" cy="27241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C48CB" w:rsidRPr="00AC48CB" w:rsidRDefault="00AC48CB" w:rsidP="00AC48CB">
      <w:pPr>
        <w:rPr>
          <w:i/>
          <w:color w:val="A6A6A6" w:themeColor="background1" w:themeShade="A6"/>
        </w:rPr>
      </w:pPr>
      <w:r>
        <w:rPr>
          <w:i/>
          <w:color w:val="A6A6A6" w:themeColor="background1" w:themeShade="A6"/>
        </w:rPr>
        <w:t>Celotni poslovni o</w:t>
      </w:r>
      <w:r w:rsidRPr="00AC48CB">
        <w:rPr>
          <w:i/>
          <w:color w:val="A6A6A6" w:themeColor="background1" w:themeShade="A6"/>
        </w:rPr>
        <w:t>dhodki prikazani v milijon evrih</w:t>
      </w:r>
    </w:p>
    <w:p w:rsidR="004468F9" w:rsidRDefault="004468F9">
      <w:r>
        <w:lastRenderedPageBreak/>
        <w:t>Lin</w:t>
      </w:r>
      <w:bookmarkStart w:id="0" w:name="_GoBack"/>
      <w:bookmarkEnd w:id="0"/>
      <w:r>
        <w:t>earno pa ne rastejo tudi stroški namenjeni razviskavam in razvoju (</w:t>
      </w:r>
      <w:r>
        <w:rPr>
          <w:rFonts w:ascii="Arial" w:hAnsi="Arial" w:cs="Arial"/>
          <w:color w:val="000000"/>
          <w:sz w:val="18"/>
          <w:szCs w:val="18"/>
        </w:rPr>
        <w:t>Research &amp; Development</w:t>
      </w:r>
      <w:r>
        <w:t>)</w:t>
      </w:r>
      <w:r>
        <w:t>, te kot vidimo so se leta 2017 močno povečali, iz 772 milijonov evrov na 1326 milijonov. Vendar je podjetje  v zadnjih dveh letih te stroške zmanjšalo, tako da so leta 2019 znašali 1171 milijon evrov.</w:t>
      </w:r>
    </w:p>
    <w:p w:rsidR="009E6D25" w:rsidRDefault="004468F9">
      <w:r>
        <w:rPr>
          <w:noProof/>
          <w:lang w:eastAsia="sl-SI"/>
        </w:rPr>
        <w:drawing>
          <wp:inline distT="0" distB="0" distL="0" distR="0" wp14:anchorId="6E035498" wp14:editId="4752EAE6">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t xml:space="preserve"> </w:t>
      </w:r>
    </w:p>
    <w:p w:rsidR="004468F9" w:rsidRPr="00AC48CB" w:rsidRDefault="002C4F01" w:rsidP="004468F9">
      <w:pPr>
        <w:rPr>
          <w:i/>
          <w:color w:val="A6A6A6" w:themeColor="background1" w:themeShade="A6"/>
        </w:rPr>
      </w:pPr>
      <w:r>
        <w:rPr>
          <w:i/>
          <w:color w:val="A6A6A6" w:themeColor="background1" w:themeShade="A6"/>
        </w:rPr>
        <w:t>Stroški namenjeni raziskavam in razvoju</w:t>
      </w:r>
      <w:r w:rsidR="004468F9" w:rsidRPr="00AC48CB">
        <w:rPr>
          <w:i/>
          <w:color w:val="A6A6A6" w:themeColor="background1" w:themeShade="A6"/>
        </w:rPr>
        <w:t xml:space="preserve"> prikazani v milijon evrih</w:t>
      </w:r>
    </w:p>
    <w:p w:rsidR="004468F9" w:rsidRDefault="004468F9"/>
    <w:sectPr w:rsidR="00446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25"/>
    <w:rsid w:val="002A2F98"/>
    <w:rsid w:val="002C4F01"/>
    <w:rsid w:val="004468F9"/>
    <w:rsid w:val="008D49A5"/>
    <w:rsid w:val="009E6D25"/>
    <w:rsid w:val="00AC48CB"/>
    <w:rsid w:val="00E8436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D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D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i5\Desktop\dif\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i5\Desktop\dif\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i5\Desktop\dif\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Sheet1!$B$15</c:f>
              <c:strCache>
                <c:ptCount val="1"/>
                <c:pt idx="0">
                  <c:v>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Sheet1!$C$15:$I$15</c:f>
              <c:numCache>
                <c:formatCode>General</c:formatCode>
                <c:ptCount val="7"/>
                <c:pt idx="0">
                  <c:v>4999.32</c:v>
                </c:pt>
                <c:pt idx="1">
                  <c:v>9182.2099999999991</c:v>
                </c:pt>
                <c:pt idx="2">
                  <c:v>14461.25</c:v>
                </c:pt>
                <c:pt idx="3">
                  <c:v>17892.05</c:v>
                </c:pt>
              </c:numCache>
            </c:numRef>
          </c:val>
        </c:ser>
        <c:ser>
          <c:idx val="1"/>
          <c:order val="1"/>
          <c:tx>
            <c:strRef>
              <c:f>Sheet1!$B$16</c:f>
              <c:strCache>
                <c:ptCount val="1"/>
                <c:pt idx="0">
                  <c:v>Pričakovani 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Sheet1!$C$16:$I$16</c:f>
              <c:numCache>
                <c:formatCode>General</c:formatCode>
                <c:ptCount val="7"/>
                <c:pt idx="4">
                  <c:v>22623.014999999999</c:v>
                </c:pt>
                <c:pt idx="5">
                  <c:v>27018.738000000001</c:v>
                </c:pt>
                <c:pt idx="6">
                  <c:v>31414.461000000003</c:v>
                </c:pt>
              </c:numCache>
            </c:numRef>
          </c:val>
        </c:ser>
        <c:dLbls>
          <c:showLegendKey val="0"/>
          <c:showVal val="0"/>
          <c:showCatName val="0"/>
          <c:showSerName val="0"/>
          <c:showPercent val="0"/>
          <c:showBubbleSize val="0"/>
        </c:dLbls>
        <c:gapWidth val="150"/>
        <c:axId val="138822784"/>
        <c:axId val="138824320"/>
      </c:barChart>
      <c:catAx>
        <c:axId val="138822784"/>
        <c:scaling>
          <c:orientation val="minMax"/>
        </c:scaling>
        <c:delete val="0"/>
        <c:axPos val="b"/>
        <c:numFmt formatCode="General" sourceLinked="1"/>
        <c:majorTickMark val="out"/>
        <c:minorTickMark val="none"/>
        <c:tickLblPos val="nextTo"/>
        <c:crossAx val="138824320"/>
        <c:crosses val="autoZero"/>
        <c:auto val="1"/>
        <c:lblAlgn val="ctr"/>
        <c:lblOffset val="100"/>
        <c:noMultiLvlLbl val="0"/>
      </c:catAx>
      <c:valAx>
        <c:axId val="138824320"/>
        <c:scaling>
          <c:orientation val="minMax"/>
        </c:scaling>
        <c:delete val="0"/>
        <c:axPos val="l"/>
        <c:majorGridlines/>
        <c:numFmt formatCode="General" sourceLinked="1"/>
        <c:majorTickMark val="out"/>
        <c:minorTickMark val="none"/>
        <c:tickLblPos val="nextTo"/>
        <c:crossAx val="1388227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Sheet1!$B$5</c:f>
              <c:strCache>
                <c:ptCount val="1"/>
                <c:pt idx="0">
                  <c:v>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Sheet1!$C$5:$I$5</c:f>
              <c:numCache>
                <c:formatCode>General</c:formatCode>
                <c:ptCount val="7"/>
                <c:pt idx="0">
                  <c:v>7098.11</c:v>
                </c:pt>
                <c:pt idx="1">
                  <c:v>12893.23</c:v>
                </c:pt>
                <c:pt idx="2">
                  <c:v>18139.04</c:v>
                </c:pt>
                <c:pt idx="3">
                  <c:v>21502.04</c:v>
                </c:pt>
              </c:numCache>
            </c:numRef>
          </c:val>
        </c:ser>
        <c:ser>
          <c:idx val="1"/>
          <c:order val="1"/>
          <c:tx>
            <c:strRef>
              <c:f>Sheet1!$B$6</c:f>
              <c:strCache>
                <c:ptCount val="1"/>
                <c:pt idx="0">
                  <c:v>Pričakovani 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Sheet1!$C$6:$I$6</c:f>
              <c:numCache>
                <c:formatCode>General</c:formatCode>
                <c:ptCount val="7"/>
                <c:pt idx="4">
                  <c:v>27022.505000000005</c:v>
                </c:pt>
                <c:pt idx="5">
                  <c:v>31868.264999999999</c:v>
                </c:pt>
                <c:pt idx="6">
                  <c:v>36714.025000000001</c:v>
                </c:pt>
              </c:numCache>
            </c:numRef>
          </c:val>
        </c:ser>
        <c:dLbls>
          <c:showLegendKey val="0"/>
          <c:showVal val="0"/>
          <c:showCatName val="0"/>
          <c:showSerName val="0"/>
          <c:showPercent val="0"/>
          <c:showBubbleSize val="0"/>
        </c:dLbls>
        <c:gapWidth val="150"/>
        <c:axId val="139729920"/>
        <c:axId val="139731712"/>
      </c:barChart>
      <c:catAx>
        <c:axId val="139729920"/>
        <c:scaling>
          <c:orientation val="minMax"/>
        </c:scaling>
        <c:delete val="0"/>
        <c:axPos val="b"/>
        <c:numFmt formatCode="General" sourceLinked="1"/>
        <c:majorTickMark val="out"/>
        <c:minorTickMark val="none"/>
        <c:tickLblPos val="nextTo"/>
        <c:crossAx val="139731712"/>
        <c:crosses val="autoZero"/>
        <c:auto val="1"/>
        <c:lblAlgn val="ctr"/>
        <c:lblOffset val="100"/>
        <c:noMultiLvlLbl val="0"/>
      </c:catAx>
      <c:valAx>
        <c:axId val="139731712"/>
        <c:scaling>
          <c:orientation val="minMax"/>
        </c:scaling>
        <c:delete val="0"/>
        <c:axPos val="l"/>
        <c:majorGridlines/>
        <c:numFmt formatCode="General" sourceLinked="1"/>
        <c:majorTickMark val="out"/>
        <c:minorTickMark val="none"/>
        <c:tickLblPos val="nextTo"/>
        <c:crossAx val="1397299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Sheet1!$B$24</c:f>
              <c:strCache>
                <c:ptCount val="1"/>
                <c:pt idx="0">
                  <c:v>Raziskave &amp; Razvoj</c:v>
                </c:pt>
              </c:strCache>
            </c:strRef>
          </c:tx>
          <c:invertIfNegative val="0"/>
          <c:cat>
            <c:numRef>
              <c:f>Sheet1!$C$23:$F$23</c:f>
              <c:numCache>
                <c:formatCode>General</c:formatCode>
                <c:ptCount val="4"/>
                <c:pt idx="0">
                  <c:v>2016</c:v>
                </c:pt>
                <c:pt idx="1">
                  <c:v>2017</c:v>
                </c:pt>
                <c:pt idx="2">
                  <c:v>2018</c:v>
                </c:pt>
                <c:pt idx="3">
                  <c:v>2019</c:v>
                </c:pt>
              </c:numCache>
            </c:numRef>
          </c:cat>
          <c:val>
            <c:numRef>
              <c:f>Sheet1!$C$24:$F$24</c:f>
              <c:numCache>
                <c:formatCode>General</c:formatCode>
                <c:ptCount val="4"/>
                <c:pt idx="0">
                  <c:v>772.12</c:v>
                </c:pt>
                <c:pt idx="1">
                  <c:v>1326.88</c:v>
                </c:pt>
                <c:pt idx="2">
                  <c:v>1212.0899999999999</c:v>
                </c:pt>
                <c:pt idx="3">
                  <c:v>1171.6300000000001</c:v>
                </c:pt>
              </c:numCache>
            </c:numRef>
          </c:val>
        </c:ser>
        <c:dLbls>
          <c:showLegendKey val="0"/>
          <c:showVal val="0"/>
          <c:showCatName val="0"/>
          <c:showSerName val="0"/>
          <c:showPercent val="0"/>
          <c:showBubbleSize val="0"/>
        </c:dLbls>
        <c:gapWidth val="150"/>
        <c:axId val="139768192"/>
        <c:axId val="139769728"/>
      </c:barChart>
      <c:catAx>
        <c:axId val="139768192"/>
        <c:scaling>
          <c:orientation val="minMax"/>
        </c:scaling>
        <c:delete val="0"/>
        <c:axPos val="b"/>
        <c:numFmt formatCode="General" sourceLinked="1"/>
        <c:majorTickMark val="out"/>
        <c:minorTickMark val="none"/>
        <c:tickLblPos val="nextTo"/>
        <c:crossAx val="139769728"/>
        <c:crosses val="autoZero"/>
        <c:auto val="1"/>
        <c:lblAlgn val="ctr"/>
        <c:lblOffset val="100"/>
        <c:noMultiLvlLbl val="0"/>
      </c:catAx>
      <c:valAx>
        <c:axId val="139769728"/>
        <c:scaling>
          <c:orientation val="minMax"/>
        </c:scaling>
        <c:delete val="0"/>
        <c:axPos val="l"/>
        <c:majorGridlines/>
        <c:numFmt formatCode="General" sourceLinked="1"/>
        <c:majorTickMark val="out"/>
        <c:minorTickMark val="none"/>
        <c:tickLblPos val="nextTo"/>
        <c:crossAx val="1397681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asusi5</dc:creator>
  <cp:lastModifiedBy>asusi5</cp:lastModifiedBy>
  <cp:revision>3</cp:revision>
  <dcterms:created xsi:type="dcterms:W3CDTF">2020-04-22T07:24:00Z</dcterms:created>
  <dcterms:modified xsi:type="dcterms:W3CDTF">2020-04-27T16:08:00Z</dcterms:modified>
</cp:coreProperties>
</file>