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 xml:space="preserve">Duščak Nejc, Maks </w:t>
      </w:r>
      <w:proofErr w:type="spellStart"/>
      <w:r>
        <w:rPr>
          <w:sz w:val="36"/>
        </w:rPr>
        <w:t>Perbil</w:t>
      </w:r>
      <w:proofErr w:type="spellEnd"/>
      <w:r>
        <w:rPr>
          <w:sz w:val="36"/>
        </w:rPr>
        <w:t>,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r>
        <w:lastRenderedPageBreak/>
        <w:t>KAZALO</w:t>
      </w:r>
    </w:p>
    <w:p w:rsidR="005F7B72" w:rsidRDefault="005F7B72">
      <w:pPr>
        <w:rPr>
          <w:sz w:val="28"/>
        </w:rPr>
      </w:pPr>
      <w:r>
        <w:br w:type="page"/>
      </w:r>
    </w:p>
    <w:p w:rsidR="00E47BEA" w:rsidRDefault="00E47BEA" w:rsidP="00E47BEA">
      <w:pPr>
        <w:pStyle w:val="Naslovi2"/>
        <w:numPr>
          <w:ilvl w:val="0"/>
          <w:numId w:val="0"/>
        </w:numPr>
        <w:ind w:left="720"/>
      </w:pPr>
    </w:p>
    <w:p w:rsidR="00E47BEA" w:rsidRDefault="00E47BEA" w:rsidP="00E47BEA">
      <w:pPr>
        <w:pStyle w:val="Naslovi1"/>
      </w:pPr>
      <w:r>
        <w:t>UVOD</w:t>
      </w:r>
    </w:p>
    <w:p w:rsidR="00E47BEA" w:rsidRDefault="00E47BEA" w:rsidP="00E47BEA">
      <w:pPr>
        <w:pStyle w:val="Naslovi1"/>
      </w:pPr>
      <w:r>
        <w:t>družba tesla</w:t>
      </w:r>
    </w:p>
    <w:p w:rsidR="004D33A1" w:rsidRDefault="004D33A1" w:rsidP="004D33A1">
      <w:pPr>
        <w:pStyle w:val="Naslovi2"/>
      </w:pPr>
      <w:r>
        <w:t>Predstavitev družbe Tesla</w:t>
      </w:r>
    </w:p>
    <w:p w:rsidR="004D33A1" w:rsidRDefault="004D33A1" w:rsidP="004D33A1">
      <w:r>
        <w:t xml:space="preserve">Tesla je ameriško podjetje za električna vozila in čisto energijo s sedežem v </w:t>
      </w:r>
      <w:proofErr w:type="spellStart"/>
      <w:r>
        <w:t>Palo</w:t>
      </w:r>
      <w:proofErr w:type="spellEnd"/>
      <w:r>
        <w:t xml:space="preserve"> Altu v Kaliforniji. Teslo je leta 2003 ustanovila skupina inženirjev (Martin </w:t>
      </w:r>
      <w:proofErr w:type="spellStart"/>
      <w:r>
        <w:t>Eberhard</w:t>
      </w:r>
      <w:proofErr w:type="spellEnd"/>
      <w:r>
        <w:t xml:space="preserve"> in Marc </w:t>
      </w:r>
      <w:proofErr w:type="spellStart"/>
      <w:r>
        <w:t>Tarpenning</w:t>
      </w:r>
      <w:proofErr w:type="spellEnd"/>
      <w:r>
        <w:t xml:space="preserve">), ki je želela dokazati, da ljudem ni treba sklepati kompromisov, če želijo voziti električna vozila; da so električna vozila lahko boljša, hitrejša in bolj zabavna kot bencinski avtomobili. </w:t>
      </w:r>
      <w:proofErr w:type="spellStart"/>
      <w:r>
        <w:t>Elon</w:t>
      </w:r>
      <w:proofErr w:type="spellEnd"/>
      <w:r>
        <w:t xml:space="preserve"> </w:t>
      </w:r>
      <w:proofErr w:type="spellStart"/>
      <w:r>
        <w:t>Musk</w:t>
      </w:r>
      <w:proofErr w:type="spellEnd"/>
      <w:r>
        <w:t xml:space="preserve"> je bil odgovoren za 98 % začetnega financiranja in je opravljal funkcijo predsednika odbora. 29. junija 2010 je Tesla </w:t>
      </w:r>
      <w:proofErr w:type="spellStart"/>
      <w:r>
        <w:t>Motors</w:t>
      </w:r>
      <w:proofErr w:type="spellEnd"/>
      <w:r>
        <w:t xml:space="preserve"> začela kotirati na borzi NASDAQ pod imenom TSLA. </w:t>
      </w:r>
    </w:p>
    <w:p w:rsidR="004D33A1" w:rsidRDefault="004D33A1" w:rsidP="004D33A1">
      <w:r>
        <w:t>Cilj podjetja je pospešitev svetovnega prehoda na obnovljive vire energije.</w:t>
      </w:r>
    </w:p>
    <w:p w:rsidR="004D33A1" w:rsidRDefault="004D33A1" w:rsidP="004D33A1">
      <w:r>
        <w:t xml:space="preserve">Podjetje je leta 2019 zaposlovalo 48.016 ljudi. Največji delež lastništva podjetja ima </w:t>
      </w:r>
      <w:proofErr w:type="spellStart"/>
      <w:r>
        <w:t>Elon</w:t>
      </w:r>
      <w:proofErr w:type="spellEnd"/>
      <w:r>
        <w:t xml:space="preserve"> </w:t>
      </w:r>
      <w:proofErr w:type="spellStart"/>
      <w:r>
        <w:t>Musk</w:t>
      </w:r>
      <w:proofErr w:type="spellEnd"/>
      <w:r>
        <w:t xml:space="preserve"> (21,7 %).</w:t>
      </w:r>
    </w:p>
    <w:p w:rsidR="004D33A1" w:rsidRDefault="004D33A1" w:rsidP="004D33A1">
      <w:r>
        <w:t xml:space="preserve">Podjetje je specializirano za proizvodnjo električnih vozil (Model S, Model 3, Model X, Model Y, Tesla </w:t>
      </w:r>
      <w:proofErr w:type="spellStart"/>
      <w:r>
        <w:t>Roadster</w:t>
      </w:r>
      <w:proofErr w:type="spellEnd"/>
      <w:r>
        <w:t xml:space="preserve">, Tesla </w:t>
      </w:r>
      <w:proofErr w:type="spellStart"/>
      <w:r>
        <w:t>Cybertruck</w:t>
      </w:r>
      <w:proofErr w:type="spellEnd"/>
      <w:r>
        <w:t>), baterij (</w:t>
      </w:r>
      <w:proofErr w:type="spellStart"/>
      <w:r>
        <w:t>Powerwall</w:t>
      </w:r>
      <w:proofErr w:type="spellEnd"/>
      <w:r>
        <w:t xml:space="preserve">, </w:t>
      </w:r>
      <w:proofErr w:type="spellStart"/>
      <w:r>
        <w:t>Powerpack</w:t>
      </w:r>
      <w:proofErr w:type="spellEnd"/>
      <w:r>
        <w:t xml:space="preserve">, </w:t>
      </w:r>
      <w:proofErr w:type="spellStart"/>
      <w:r>
        <w:t>Megapack</w:t>
      </w:r>
      <w:proofErr w:type="spellEnd"/>
      <w:r>
        <w:t>),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 xml:space="preserve">Vsa Tesla vozila so izdelana v tovarni v </w:t>
      </w:r>
      <w:proofErr w:type="spellStart"/>
      <w:r>
        <w:t>Fremontu</w:t>
      </w:r>
      <w:proofErr w:type="spellEnd"/>
      <w:r>
        <w:t xml:space="preserve">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 xml:space="preserve">Za ustvarjanje celotnega trajnostnega energetskega ekosistema Tesla izdeluje tudi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domov, podjetjem in podjetjem omogoča upravljanje proizvodnje, skladiščenja in porabe obnovljivih virov energije. </w:t>
      </w:r>
      <w:proofErr w:type="spellStart"/>
      <w:r>
        <w:t>Gigafactory</w:t>
      </w:r>
      <w:proofErr w:type="spellEnd"/>
      <w:r>
        <w:t xml:space="preserve"> 1 je pripomoček za podporo </w:t>
      </w:r>
      <w:proofErr w:type="spellStart"/>
      <w:r>
        <w:t>Teslinim</w:t>
      </w:r>
      <w:proofErr w:type="spellEnd"/>
      <w:r>
        <w:t xml:space="preserve">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w:t>
      </w:r>
      <w:proofErr w:type="spellStart"/>
      <w:r>
        <w:t>cenevno</w:t>
      </w:r>
      <w:proofErr w:type="spellEnd"/>
      <w:r>
        <w:t xml:space="preserve">) dostopni več in več ljudem, kar na koncu pospeši pojav čistega prevoza in proizvodnje čiste energije. Aprila 2019 je </w:t>
      </w:r>
      <w:proofErr w:type="spellStart"/>
      <w:r>
        <w:t>Elon</w:t>
      </w:r>
      <w:proofErr w:type="spellEnd"/>
      <w:r>
        <w:t xml:space="preserve"> </w:t>
      </w:r>
      <w:proofErr w:type="spellStart"/>
      <w:r>
        <w:t>Musk</w:t>
      </w:r>
      <w:proofErr w:type="spellEnd"/>
      <w:r>
        <w:t xml:space="preserve">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r>
        <w:t>Predstavitev konkurenčnih podjetij</w:t>
      </w:r>
    </w:p>
    <w:p w:rsidR="004D33A1" w:rsidRDefault="004D33A1" w:rsidP="004D33A1">
      <w:pPr>
        <w:pStyle w:val="Naslovi3"/>
      </w:pPr>
      <w:r>
        <w:t>Toyota</w:t>
      </w:r>
    </w:p>
    <w:p w:rsidR="004D33A1" w:rsidRDefault="004D33A1" w:rsidP="004D33A1">
      <w:r>
        <w:t xml:space="preserve">Toyota Motor </w:t>
      </w:r>
      <w:proofErr w:type="spellStart"/>
      <w:r>
        <w:t>Corporation</w:t>
      </w:r>
      <w:proofErr w:type="spellEnd"/>
      <w:r>
        <w:t xml:space="preserve"> je največji svetovni in japonski proizvajalec avtomobilov. Ustanovljena je bila leta 1937. Po dobičku in borzni vrednosti je podjetje že vrsto let največje na svetu.</w:t>
      </w:r>
    </w:p>
    <w:p w:rsidR="004D33A1" w:rsidRDefault="004D33A1" w:rsidP="004D33A1">
      <w:r>
        <w:t xml:space="preserve">Toyota je vodilno podjetje na trgu prodaje hibridnih električnih vozil , ena največjih podjetij, ki je spodbujala sprejem hibridnih vozil na množični trg po vsem svetu, in prva, ki je tržila množično proizvodnjo in prodajo takšnih vozil, z uvedbo Toyota </w:t>
      </w:r>
      <w:proofErr w:type="spellStart"/>
      <w:r>
        <w:t>Prius</w:t>
      </w:r>
      <w:proofErr w:type="spellEnd"/>
      <w:r>
        <w:t xml:space="preserve"> leta 1997. Podjetje je sčasoma začelo ponujati to možnost na svojih glavnih osebnih avtomobilih. Prodaja modelov hibridnih osebnih avtomobilov Toyota in </w:t>
      </w:r>
      <w:proofErr w:type="spellStart"/>
      <w:r>
        <w:t>Lexus</w:t>
      </w:r>
      <w:proofErr w:type="spellEnd"/>
      <w:r>
        <w:t xml:space="preserve"> je januarja 2017 prešla mejnik 10 milijonov.</w:t>
      </w:r>
    </w:p>
    <w:p w:rsidR="004D33A1" w:rsidRDefault="004D33A1" w:rsidP="004D33A1">
      <w:r>
        <w:t xml:space="preserve">Maja 2010 je Toyota začela sodelovanje s Tesla </w:t>
      </w:r>
      <w:proofErr w:type="spellStart"/>
      <w:r>
        <w:t>Motors</w:t>
      </w:r>
      <w:proofErr w:type="spellEnd"/>
      <w:r>
        <w:t xml:space="preserve">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proofErr w:type="spellStart"/>
      <w:r>
        <w:t>Geely</w:t>
      </w:r>
      <w:proofErr w:type="spellEnd"/>
    </w:p>
    <w:p w:rsidR="004D33A1" w:rsidRDefault="004D33A1" w:rsidP="004D33A1">
      <w:r>
        <w:t xml:space="preserve">Podjetje je bilo ustanovljeno leta 1986, v avtomobilsko industrijo pa je vstopilo leta 1997 z blagovno znamko </w:t>
      </w:r>
      <w:proofErr w:type="spellStart"/>
      <w:r>
        <w:t>Geely</w:t>
      </w:r>
      <w:proofErr w:type="spellEnd"/>
      <w:r>
        <w:t xml:space="preserve"> </w:t>
      </w:r>
      <w:proofErr w:type="spellStart"/>
      <w:r>
        <w:t>Auto</w:t>
      </w:r>
      <w:proofErr w:type="spellEnd"/>
      <w:r>
        <w:t xml:space="preserve">. Prodaja osebna vozila pod znamkami </w:t>
      </w:r>
      <w:proofErr w:type="spellStart"/>
      <w:r>
        <w:t>Geely</w:t>
      </w:r>
      <w:proofErr w:type="spellEnd"/>
      <w:r>
        <w:t xml:space="preserve"> </w:t>
      </w:r>
      <w:proofErr w:type="spellStart"/>
      <w:r>
        <w:t>Auto</w:t>
      </w:r>
      <w:proofErr w:type="spellEnd"/>
      <w:r>
        <w:t xml:space="preserve">, Lotus, </w:t>
      </w:r>
      <w:proofErr w:type="spellStart"/>
      <w:r>
        <w:t>Lynk</w:t>
      </w:r>
      <w:proofErr w:type="spellEnd"/>
      <w:r>
        <w:t xml:space="preserve"> &amp; </w:t>
      </w:r>
      <w:proofErr w:type="spellStart"/>
      <w:r>
        <w:t>Co</w:t>
      </w:r>
      <w:proofErr w:type="spellEnd"/>
      <w:r>
        <w:t xml:space="preserve">, PROTON in Volvo, </w:t>
      </w:r>
    </w:p>
    <w:p w:rsidR="004D33A1" w:rsidRDefault="004D33A1" w:rsidP="004D33A1">
      <w:r>
        <w:t xml:space="preserve">Blagovni znamki skupine </w:t>
      </w:r>
      <w:proofErr w:type="spellStart"/>
      <w:r>
        <w:t>Geely</w:t>
      </w:r>
      <w:proofErr w:type="spellEnd"/>
      <w:r>
        <w:t xml:space="preserve"> New </w:t>
      </w:r>
      <w:proofErr w:type="spellStart"/>
      <w:r>
        <w:t>Energy</w:t>
      </w:r>
      <w:proofErr w:type="spellEnd"/>
      <w:r>
        <w:t xml:space="preserve"> </w:t>
      </w:r>
      <w:proofErr w:type="spellStart"/>
      <w:r>
        <w:t>Commercial</w:t>
      </w:r>
      <w:proofErr w:type="spellEnd"/>
      <w:r>
        <w:t xml:space="preserve"> </w:t>
      </w:r>
      <w:proofErr w:type="spellStart"/>
      <w:r>
        <w:t>Vehicle</w:t>
      </w:r>
      <w:proofErr w:type="spellEnd"/>
      <w:r>
        <w:t xml:space="preserve">, ki se ukvarja z električnimi avtomobili sta London </w:t>
      </w:r>
      <w:proofErr w:type="spellStart"/>
      <w:r>
        <w:t>Electric</w:t>
      </w:r>
      <w:proofErr w:type="spellEnd"/>
      <w:r>
        <w:t xml:space="preserve"> </w:t>
      </w:r>
      <w:proofErr w:type="spellStart"/>
      <w:r>
        <w:t>Company</w:t>
      </w:r>
      <w:proofErr w:type="spellEnd"/>
      <w:r>
        <w:t xml:space="preserve"> in </w:t>
      </w:r>
      <w:proofErr w:type="spellStart"/>
      <w:r>
        <w:t>Yuan</w:t>
      </w:r>
      <w:proofErr w:type="spellEnd"/>
      <w:r>
        <w:t xml:space="preserve"> </w:t>
      </w:r>
      <w:proofErr w:type="spellStart"/>
      <w:r>
        <w:t>Cheng</w:t>
      </w:r>
      <w:proofErr w:type="spellEnd"/>
      <w:r>
        <w:t xml:space="preserve"> </w:t>
      </w:r>
      <w:proofErr w:type="spellStart"/>
      <w:r>
        <w:t>Auto</w:t>
      </w:r>
      <w:proofErr w:type="spellEnd"/>
    </w:p>
    <w:p w:rsidR="004D33A1" w:rsidRDefault="004D33A1" w:rsidP="004D33A1">
      <w:r>
        <w:t xml:space="preserve"> Londonsko taksi podjetje, ki ga je </w:t>
      </w:r>
      <w:proofErr w:type="spellStart"/>
      <w:r>
        <w:t>Zhejiang</w:t>
      </w:r>
      <w:proofErr w:type="spellEnd"/>
      <w:r>
        <w:t xml:space="preserve"> </w:t>
      </w:r>
      <w:proofErr w:type="spellStart"/>
      <w:r>
        <w:t>Geely</w:t>
      </w:r>
      <w:proofErr w:type="spellEnd"/>
      <w:r>
        <w:t xml:space="preserve"> Holding </w:t>
      </w:r>
      <w:proofErr w:type="spellStart"/>
      <w:r>
        <w:t>Group</w:t>
      </w:r>
      <w:proofErr w:type="spellEnd"/>
      <w:r>
        <w:t xml:space="preserve"> prevzela leta 2013, je leta 2017 spremenilo ime v London </w:t>
      </w:r>
      <w:proofErr w:type="spellStart"/>
      <w:r>
        <w:t>Electric</w:t>
      </w:r>
      <w:proofErr w:type="spellEnd"/>
      <w:r>
        <w:t xml:space="preserve"> </w:t>
      </w:r>
      <w:proofErr w:type="spellStart"/>
      <w:r>
        <w:t>Company</w:t>
      </w:r>
      <w:proofErr w:type="spellEnd"/>
      <w:r>
        <w:t xml:space="preserve"> (LEVC), da bi odražalo novo poslanstvo razvoja in proizvodnje električnih gospodarskih vozil.</w:t>
      </w:r>
    </w:p>
    <w:p w:rsidR="004D33A1" w:rsidRDefault="004D33A1" w:rsidP="004D33A1">
      <w:proofErr w:type="spellStart"/>
      <w:r>
        <w:t>Yuan</w:t>
      </w:r>
      <w:proofErr w:type="spellEnd"/>
      <w:r>
        <w:t xml:space="preserve"> </w:t>
      </w:r>
      <w:proofErr w:type="spellStart"/>
      <w:r>
        <w:t>Cheng</w:t>
      </w:r>
      <w:proofErr w:type="spellEnd"/>
      <w:r>
        <w:t xml:space="preserve"> </w:t>
      </w:r>
      <w:proofErr w:type="spellStart"/>
      <w:r>
        <w:t>Auto</w:t>
      </w:r>
      <w:proofErr w:type="spellEnd"/>
      <w:r>
        <w:t xml:space="preserve"> - </w:t>
      </w:r>
      <w:proofErr w:type="spellStart"/>
      <w:r>
        <w:t>Yuan</w:t>
      </w:r>
      <w:proofErr w:type="spellEnd"/>
      <w:r>
        <w:t xml:space="preserve"> </w:t>
      </w:r>
      <w:proofErr w:type="spellStart"/>
      <w:r>
        <w:t>Cheng</w:t>
      </w:r>
      <w:proofErr w:type="spellEnd"/>
      <w:r>
        <w:t xml:space="preserve"> </w:t>
      </w:r>
      <w:proofErr w:type="spellStart"/>
      <w:r>
        <w:t>Auto</w:t>
      </w:r>
      <w:proofErr w:type="spellEnd"/>
      <w:r>
        <w:t xml:space="preserve">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r>
        <w:t>Predstavitev trendov na trgu</w:t>
      </w:r>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eastAsia="sl-SI"/>
        </w:rPr>
        <w:drawing>
          <wp:inline distT="0" distB="0" distL="0" distR="0" wp14:anchorId="1D0F8E81" wp14:editId="78DABB42">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7">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5F7B72">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w:t>
      </w:r>
      <w:proofErr w:type="spellStart"/>
      <w:r>
        <w:t>Semi</w:t>
      </w:r>
      <w:proofErr w:type="spellEnd"/>
      <w:r>
        <w:t>). Prav tako pa lahko zasledimo, da si Tesla prizadeva za ustvarjanje celotnega trajnostnega energetskega ekosistema. Tesla izdeluje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omogoča upravljanje, shranjevanje in porabo obnovljivih virov energije.  </w:t>
      </w:r>
    </w:p>
    <w:p w:rsidR="00196FD5" w:rsidRDefault="00196FD5" w:rsidP="00196FD5">
      <w:r>
        <w:t xml:space="preserve">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w:t>
      </w:r>
      <w:proofErr w:type="spellStart"/>
      <w:r>
        <w:t>Elon</w:t>
      </w:r>
      <w:proofErr w:type="spellEnd"/>
      <w:r>
        <w:t xml:space="preserve"> </w:t>
      </w:r>
      <w:proofErr w:type="spellStart"/>
      <w:r>
        <w:t>Musk</w:t>
      </w:r>
      <w:proofErr w:type="spellEnd"/>
      <w:r>
        <w:t xml:space="preserve">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BF0363">
      <w:pPr>
        <w:pStyle w:val="Naslovi2"/>
      </w:pPr>
      <w:r w:rsidRPr="00BF0363">
        <w:t>Delnice Tesla</w:t>
      </w:r>
    </w:p>
    <w:p w:rsidR="001A2D32" w:rsidRPr="00BF0363" w:rsidRDefault="001A2D32" w:rsidP="001A2D32">
      <w:r w:rsidRPr="00BF0363">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w:t>
      </w:r>
      <w:r w:rsidRPr="00BF0363">
        <w:lastRenderedPageBreak/>
        <w:t>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 xml:space="preserve">Vendar kakor hitro so zrastle so tudi padle, namreč zgolj mesec kasneje 18.3.2020 je bila vrednost ene le še minimalističnih 361 dolarjev.  Najverjetneje je imel med drugim velik vpliv tudi novonastali </w:t>
      </w:r>
      <w:proofErr w:type="spellStart"/>
      <w:r w:rsidRPr="00BF0363">
        <w:t>koronavirus</w:t>
      </w:r>
      <w:proofErr w:type="spellEnd"/>
      <w:r w:rsidRPr="00BF0363">
        <w:t xml:space="preserve">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 xml:space="preserve">Po podatkih naj bi bilo vseh delnic tesle kar </w:t>
      </w:r>
      <w:proofErr w:type="spellStart"/>
      <w:r w:rsidRPr="00BF0363">
        <w:t>184.39M</w:t>
      </w:r>
      <w:proofErr w:type="spellEnd"/>
      <w:r w:rsidRPr="00BF0363">
        <w:t xml:space="preserve">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eastAsia="sl-SI"/>
        </w:rPr>
        <w:drawing>
          <wp:inline distT="0" distB="0" distL="0" distR="0" wp14:anchorId="40F9BB2C" wp14:editId="478E4F37">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5F7B72">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r>
        <w:t>nAPOVEDI</w:t>
      </w:r>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r>
        <w:t>Napoved prihodkov</w:t>
      </w:r>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BF0363" w:rsidRDefault="00196FD5" w:rsidP="00BF0363">
      <w:pPr>
        <w:keepNext/>
      </w:pPr>
      <w:r>
        <w:tab/>
      </w:r>
      <w:r>
        <w:rPr>
          <w:noProof/>
          <w:lang w:eastAsia="sl-SI"/>
        </w:rPr>
        <w:drawing>
          <wp:inline distT="0" distB="0" distL="0" distR="0" wp14:anchorId="4CEAD734" wp14:editId="684ED575">
            <wp:extent cx="5944235"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2810510"/>
                    </a:xfrm>
                    <a:prstGeom prst="rect">
                      <a:avLst/>
                    </a:prstGeom>
                    <a:noFill/>
                  </pic:spPr>
                </pic:pic>
              </a:graphicData>
            </a:graphic>
          </wp:inline>
        </w:drawing>
      </w:r>
    </w:p>
    <w:p w:rsidR="00BF0363"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3</w:t>
      </w:r>
      <w:r w:rsidRPr="00BF0363">
        <w:rPr>
          <w:color w:val="auto"/>
        </w:rPr>
        <w:fldChar w:fldCharType="end"/>
      </w:r>
      <w:r w:rsidRPr="00BF0363">
        <w:rPr>
          <w:color w:val="auto"/>
        </w:rPr>
        <w:t>: prihodki</w:t>
      </w:r>
    </w:p>
    <w:p w:rsidR="00196FD5" w:rsidRDefault="00196FD5" w:rsidP="00196FD5"/>
    <w:p w:rsidR="00196FD5" w:rsidRDefault="00196FD5" w:rsidP="00196FD5">
      <w:r>
        <w:t>Kot je razvidno na grafu, je tudi v prihodnjih dveh letih je 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BF0363" w:rsidRDefault="00196FD5" w:rsidP="00BF0363">
      <w:pPr>
        <w:keepNext/>
      </w:pPr>
      <w:r>
        <w:lastRenderedPageBreak/>
        <w:t xml:space="preserve"> </w:t>
      </w:r>
      <w:r>
        <w:rPr>
          <w:noProof/>
          <w:lang w:eastAsia="sl-SI"/>
        </w:rPr>
        <w:drawing>
          <wp:inline distT="0" distB="0" distL="0" distR="0" wp14:anchorId="31171B6A" wp14:editId="5E838414">
            <wp:extent cx="4603115" cy="2719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115" cy="271907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4</w:t>
      </w:r>
      <w:r w:rsidRPr="00BF0363">
        <w:rPr>
          <w:color w:val="auto"/>
        </w:rPr>
        <w:fldChar w:fldCharType="end"/>
      </w:r>
      <w:r w:rsidRPr="00BF0363">
        <w:rPr>
          <w:color w:val="auto"/>
        </w:rPr>
        <w:t>: Stopnja rasti prihodkov</w:t>
      </w:r>
    </w:p>
    <w:p w:rsidR="00196FD5" w:rsidRDefault="00196FD5" w:rsidP="00196FD5">
      <w:r>
        <w:t xml:space="preserve">V letu 2019 so se prihodki iz avtomobilskega </w:t>
      </w:r>
      <w:proofErr w:type="spellStart"/>
      <w:r>
        <w:t>lizinga</w:t>
      </w:r>
      <w:proofErr w:type="spellEnd"/>
      <w:r>
        <w:t xml:space="preserve">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t xml:space="preserve"> </w:t>
      </w:r>
      <w:r>
        <w:rPr>
          <w:noProof/>
          <w:lang w:eastAsia="sl-SI"/>
        </w:rPr>
        <w:drawing>
          <wp:inline distT="0" distB="0" distL="0" distR="0" wp14:anchorId="39EDE3A6" wp14:editId="76433470">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5</w:t>
      </w:r>
      <w:r w:rsidRPr="00BF0363">
        <w:rPr>
          <w:color w:val="auto"/>
        </w:rPr>
        <w:fldChar w:fldCharType="end"/>
      </w:r>
      <w:r w:rsidRPr="00BF0363">
        <w:rPr>
          <w:color w:val="auto"/>
        </w:rPr>
        <w:t>:statista.com</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96FD5">
      <w:pPr>
        <w:pStyle w:val="Naslovi2"/>
      </w:pPr>
      <w:r>
        <w:t>Napoved stroškov</w:t>
      </w:r>
    </w:p>
    <w:p w:rsidR="00196FD5" w:rsidRDefault="00196FD5" w:rsidP="00196FD5">
      <w:r w:rsidRPr="00196FD5">
        <w:t xml:space="preserve">Odhodki so se v zadnjih letih močno povečali, v treh letih, od leta 2016 do 2019 so zrasli za več kot 250% in sicer iz 4999 </w:t>
      </w:r>
      <w:proofErr w:type="spellStart"/>
      <w:r w:rsidRPr="00196FD5">
        <w:t>miljonov</w:t>
      </w:r>
      <w:proofErr w:type="spellEnd"/>
      <w:r w:rsidRPr="00196FD5">
        <w:t xml:space="preserve"> evrov do 17892 </w:t>
      </w:r>
      <w:proofErr w:type="spellStart"/>
      <w:r w:rsidRPr="00196FD5">
        <w:t>miljonov</w:t>
      </w:r>
      <w:proofErr w:type="spellEnd"/>
      <w:r w:rsidRPr="00196FD5">
        <w:t xml:space="preserve"> evrov. Ker so v tem obdobju rastli približno linearno, smo tako napovedali tudi pričakovane odhodke, te naj bi do leta 2022 presegli 30 </w:t>
      </w:r>
      <w:proofErr w:type="spellStart"/>
      <w:r w:rsidRPr="00196FD5">
        <w:t>miljard</w:t>
      </w:r>
      <w:proofErr w:type="spellEnd"/>
      <w:r w:rsidRPr="00196FD5">
        <w:t xml:space="preserve"> evrov.</w:t>
      </w:r>
    </w:p>
    <w:p w:rsidR="00BF0363" w:rsidRDefault="00196FD5" w:rsidP="00BF0363">
      <w:pPr>
        <w:pStyle w:val="Naslovi1"/>
        <w:keepNext/>
        <w:numPr>
          <w:ilvl w:val="0"/>
          <w:numId w:val="0"/>
        </w:numPr>
        <w:ind w:left="360" w:hanging="360"/>
      </w:pPr>
      <w:r>
        <w:rPr>
          <w:noProof/>
          <w:lang w:eastAsia="sl-SI"/>
        </w:rPr>
        <w:drawing>
          <wp:inline distT="0" distB="0" distL="0" distR="0" wp14:anchorId="459CF6A4" wp14:editId="31AEDA7B">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6</w:t>
      </w:r>
      <w:r w:rsidRPr="00BF0363">
        <w:rPr>
          <w:color w:val="auto"/>
        </w:rPr>
        <w:fldChar w:fldCharType="end"/>
      </w:r>
      <w:r w:rsidRPr="00BF0363">
        <w:rPr>
          <w:color w:val="auto"/>
        </w:rPr>
        <w:t>: Odhodki prikazani v milijon evrih</w:t>
      </w:r>
    </w:p>
    <w:p w:rsidR="00196FD5" w:rsidRDefault="00196FD5" w:rsidP="00196FD5">
      <w:r>
        <w:t xml:space="preserve">Podobno hitro se povečujejo tudi celotni poslovni odhodki. Med letoma 2016 in 2019 so se namreč povečali iz 7098 </w:t>
      </w:r>
      <w:proofErr w:type="spellStart"/>
      <w:r>
        <w:t>miljonov</w:t>
      </w:r>
      <w:proofErr w:type="spellEnd"/>
      <w:r>
        <w:t xml:space="preserve"> evrov na 21 502 </w:t>
      </w:r>
      <w:proofErr w:type="spellStart"/>
      <w:r>
        <w:t>miljonov</w:t>
      </w:r>
      <w:proofErr w:type="spellEnd"/>
      <w:r>
        <w:t xml:space="preserve"> evrov, podoben linearen trend kot smo ga opazili v tem obdobju lahko pričakujemo tudi v prihodnje, tako bodo celotni poslovni odhodki v letu 2022 presegli 36 milijard evrov. </w:t>
      </w:r>
    </w:p>
    <w:p w:rsidR="00BF0363" w:rsidRDefault="00196FD5" w:rsidP="00BF0363">
      <w:pPr>
        <w:pStyle w:val="Naslovi1"/>
        <w:keepNext/>
        <w:numPr>
          <w:ilvl w:val="0"/>
          <w:numId w:val="0"/>
        </w:numPr>
        <w:ind w:left="360" w:hanging="360"/>
      </w:pPr>
      <w:r>
        <w:rPr>
          <w:noProof/>
          <w:lang w:eastAsia="sl-SI"/>
        </w:rPr>
        <w:drawing>
          <wp:inline distT="0" distB="0" distL="0" distR="0" wp14:anchorId="0C9DD9D7" wp14:editId="1EBAB6B1">
            <wp:extent cx="4325510" cy="258272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994" cy="2585401"/>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7</w:t>
      </w:r>
      <w:r w:rsidRPr="00BF0363">
        <w:rPr>
          <w:color w:val="auto"/>
        </w:rPr>
        <w:fldChar w:fldCharType="end"/>
      </w:r>
      <w:r w:rsidRPr="00BF0363">
        <w:rPr>
          <w:color w:val="auto"/>
        </w:rPr>
        <w:t>: Celotni poslovni odhodki prikazani v milijon evrih</w:t>
      </w:r>
    </w:p>
    <w:p w:rsidR="00196FD5" w:rsidRDefault="00196FD5" w:rsidP="00196FD5">
      <w:r>
        <w:lastRenderedPageBreak/>
        <w:t xml:space="preserve">Linearno pa ne rastejo tudi stroški namenjeni </w:t>
      </w:r>
      <w:proofErr w:type="spellStart"/>
      <w:r>
        <w:t>razviskavam</w:t>
      </w:r>
      <w:proofErr w:type="spellEnd"/>
      <w:r>
        <w:t xml:space="preserve"> in razvoju (</w:t>
      </w:r>
      <w:proofErr w:type="spellStart"/>
      <w:r>
        <w:rPr>
          <w:rFonts w:ascii="Arial" w:hAnsi="Arial" w:cs="Arial"/>
          <w:color w:val="000000"/>
          <w:sz w:val="18"/>
          <w:szCs w:val="18"/>
        </w:rPr>
        <w:t>Research</w:t>
      </w:r>
      <w:proofErr w:type="spellEnd"/>
      <w:r>
        <w:rPr>
          <w:rFonts w:ascii="Arial" w:hAnsi="Arial" w:cs="Arial"/>
          <w:color w:val="000000"/>
          <w:sz w:val="18"/>
          <w:szCs w:val="18"/>
        </w:rPr>
        <w:t xml:space="preserve"> &amp; </w:t>
      </w:r>
      <w:proofErr w:type="spellStart"/>
      <w:r>
        <w:rPr>
          <w:rFonts w:ascii="Arial" w:hAnsi="Arial" w:cs="Arial"/>
          <w:color w:val="000000"/>
          <w:sz w:val="18"/>
          <w:szCs w:val="18"/>
        </w:rPr>
        <w:t>Development</w:t>
      </w:r>
      <w:proofErr w:type="spellEnd"/>
      <w:r>
        <w:t>), te kot vidimo so se leta 2017 močno povečali, iz 772 milijonov evrov na 1326 milijonov. Vendar je podjetje  v zadnjih dveh letih te stroške zmanjšalo, tako da so leta 2019 znašali 1171 milijon evrov.</w:t>
      </w:r>
    </w:p>
    <w:p w:rsidR="00BF0363" w:rsidRDefault="00196FD5" w:rsidP="00BF0363">
      <w:pPr>
        <w:pStyle w:val="Naslovi1"/>
        <w:keepNext/>
        <w:numPr>
          <w:ilvl w:val="0"/>
          <w:numId w:val="0"/>
        </w:numPr>
        <w:ind w:left="360" w:hanging="360"/>
      </w:pPr>
      <w:r>
        <w:rPr>
          <w:noProof/>
          <w:lang w:eastAsia="sl-SI"/>
        </w:rPr>
        <w:drawing>
          <wp:inline distT="0" distB="0" distL="0" distR="0" wp14:anchorId="4D78773F" wp14:editId="2183965D">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8</w:t>
      </w:r>
      <w:r w:rsidRPr="00BF0363">
        <w:rPr>
          <w:color w:val="auto"/>
        </w:rPr>
        <w:fldChar w:fldCharType="end"/>
      </w:r>
      <w:r w:rsidRPr="00BF0363">
        <w:rPr>
          <w:color w:val="auto"/>
        </w:rPr>
        <w:t>: Stroški namenjeni raziskavam in razvoju prikazani v milijon evrih</w:t>
      </w: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r>
        <w:t>Napovedi investicij</w:t>
      </w:r>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w:t>
      </w:r>
      <w:proofErr w:type="spellStart"/>
      <w:r>
        <w:t>Research</w:t>
      </w:r>
      <w:proofErr w:type="spellEnd"/>
      <w:r>
        <w:t xml:space="preserve"> </w:t>
      </w:r>
      <w:proofErr w:type="spellStart"/>
      <w:r>
        <w:t>and</w:t>
      </w:r>
      <w:proofErr w:type="spellEnd"/>
      <w:r>
        <w:t xml:space="preserve"> </w:t>
      </w:r>
      <w:proofErr w:type="spellStart"/>
      <w:r>
        <w:t>development</w:t>
      </w:r>
      <w:proofErr w:type="spellEnd"/>
      <w:r>
        <w:t xml:space="preserve">). </w:t>
      </w:r>
      <w:r w:rsidR="00DA32D0">
        <w:t>Če pogledamo graf iz prejšnjega razdelka vidimo</w:t>
      </w:r>
      <w:r>
        <w:t>,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r w:rsidR="00DA32D0">
        <w:rPr>
          <w:rFonts w:ascii="Calibri" w:eastAsia="Times New Roman" w:hAnsi="Calibri" w:cs="Times New Roman"/>
          <w:color w:val="000000"/>
          <w:lang w:eastAsia="sl-SI"/>
        </w:rPr>
        <w:t xml:space="preserve"> </w:t>
      </w:r>
    </w:p>
    <w:p w:rsidR="006F73D5" w:rsidRDefault="00DA32D0"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Ko pogledamo </w:t>
      </w:r>
      <w:proofErr w:type="spellStart"/>
      <w:r>
        <w:rPr>
          <w:rFonts w:ascii="Calibri" w:eastAsia="Times New Roman" w:hAnsi="Calibri" w:cs="Times New Roman"/>
          <w:color w:val="000000"/>
          <w:lang w:eastAsia="sl-SI"/>
        </w:rPr>
        <w:t>Tesline</w:t>
      </w:r>
      <w:proofErr w:type="spellEnd"/>
      <w:r>
        <w:rPr>
          <w:rFonts w:ascii="Calibri" w:eastAsia="Times New Roman" w:hAnsi="Calibri" w:cs="Times New Roman"/>
          <w:color w:val="000000"/>
          <w:lang w:eastAsia="sl-SI"/>
        </w:rPr>
        <w:t xml:space="preserve"> finančne izkaze opazimo, da Tesla pod razdelkom denarni tok iz investicij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xml:space="preserve">) upošteva tudi </w:t>
      </w:r>
      <w:r w:rsidR="0009181E">
        <w:rPr>
          <w:rFonts w:ascii="Calibri" w:eastAsia="Times New Roman" w:hAnsi="Calibri" w:cs="Times New Roman"/>
          <w:color w:val="000000"/>
          <w:lang w:eastAsia="sl-SI"/>
        </w:rPr>
        <w:t xml:space="preserve">stroške, ki nastanejo pri nakupih sistemov za pridobivanje sončne energije </w:t>
      </w:r>
      <w:r>
        <w:rPr>
          <w:rFonts w:ascii="Calibri" w:eastAsia="Times New Roman" w:hAnsi="Calibri" w:cs="Times New Roman"/>
          <w:color w:val="000000"/>
          <w:lang w:eastAsia="sl-SI"/>
        </w:rPr>
        <w:t xml:space="preserve">(angl. </w:t>
      </w:r>
      <w:proofErr w:type="spellStart"/>
      <w:r>
        <w:rPr>
          <w:rFonts w:ascii="Calibri" w:eastAsia="Times New Roman" w:hAnsi="Calibri" w:cs="Times New Roman"/>
          <w:color w:val="000000"/>
          <w:lang w:eastAsia="sl-SI"/>
        </w:rPr>
        <w:t>Payments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for</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the</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cost</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of</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solar</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energy</w:t>
      </w:r>
      <w:proofErr w:type="spellEnd"/>
      <w:r w:rsidR="0009181E">
        <w:rPr>
          <w:rFonts w:ascii="Calibri" w:eastAsia="Times New Roman" w:hAnsi="Calibri" w:cs="Times New Roman"/>
          <w:color w:val="000000"/>
          <w:lang w:eastAsia="sl-SI"/>
        </w:rPr>
        <w:t xml:space="preserve"> </w:t>
      </w:r>
      <w:proofErr w:type="spellStart"/>
      <w:r w:rsidR="0009181E">
        <w:rPr>
          <w:rFonts w:ascii="Calibri" w:eastAsia="Times New Roman" w:hAnsi="Calibri" w:cs="Times New Roman"/>
          <w:color w:val="000000"/>
          <w:lang w:eastAsia="sl-SI"/>
        </w:rPr>
        <w:t>system</w:t>
      </w:r>
      <w:proofErr w:type="spellEnd"/>
      <w:r w:rsidR="0009181E">
        <w:rPr>
          <w:rFonts w:ascii="Calibri" w:eastAsia="Times New Roman" w:hAnsi="Calibri" w:cs="Times New Roman"/>
          <w:color w:val="000000"/>
          <w:lang w:eastAsia="sl-SI"/>
        </w:rPr>
        <w:t xml:space="preserve">). Vidimo, da močno izstopa leto 2017, v katerem je Tesla v Ontario (Kalifornija), zgradila </w:t>
      </w:r>
      <w:r w:rsidR="006F73D5">
        <w:rPr>
          <w:rFonts w:ascii="Calibri" w:eastAsia="Times New Roman" w:hAnsi="Calibri" w:cs="Times New Roman"/>
          <w:color w:val="000000"/>
          <w:lang w:eastAsia="sl-SI"/>
        </w:rPr>
        <w:t xml:space="preserve">zbiralnike energije, ki lahko vzdržujejo 15000 gospodinjstev. Prav tako pa so istega leta podpisali tudi pogodbo z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Island</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Utility</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Cooperative</w:t>
      </w:r>
      <w:proofErr w:type="spellEnd"/>
      <w:r w:rsidR="006F73D5">
        <w:rPr>
          <w:rFonts w:ascii="Calibri" w:eastAsia="Times New Roman" w:hAnsi="Calibri" w:cs="Times New Roman"/>
          <w:color w:val="000000"/>
          <w:lang w:eastAsia="sl-SI"/>
        </w:rPr>
        <w:t xml:space="preserve">, po kateri naj bi na otoku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zgradili 52 baterij za shranjevanje energije in sončno farmo.</w:t>
      </w:r>
    </w:p>
    <w:p w:rsidR="00433C2C" w:rsidRDefault="00433C2C" w:rsidP="00196FD5">
      <w:pPr>
        <w:rPr>
          <w:rFonts w:ascii="Calibri" w:eastAsia="Times New Roman" w:hAnsi="Calibri" w:cs="Times New Roman"/>
          <w:color w:val="000000"/>
          <w:lang w:eastAsia="sl-SI"/>
        </w:rPr>
      </w:pPr>
      <w:r>
        <w:rPr>
          <w:noProof/>
          <w:lang w:eastAsia="sl-SI"/>
        </w:rPr>
        <w:lastRenderedPageBreak/>
        <w:drawing>
          <wp:inline distT="0" distB="0" distL="0" distR="0" wp14:anchorId="5405B4FE" wp14:editId="08148468">
            <wp:extent cx="5677232" cy="3069203"/>
            <wp:effectExtent l="0" t="0" r="1905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30E0" w:rsidRDefault="00CF30E0" w:rsidP="00433C2C">
      <w:r>
        <w:rPr>
          <w:noProof/>
          <w:lang w:eastAsia="sl-SI"/>
        </w:rPr>
        <w:drawing>
          <wp:inline distT="0" distB="0" distL="0" distR="0" wp14:anchorId="4309EED7" wp14:editId="6F1C8E29">
            <wp:extent cx="4601172" cy="2745961"/>
            <wp:effectExtent l="0" t="0" r="9525" b="165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30E0" w:rsidRDefault="00CF30E0" w:rsidP="005F7B72">
      <w:pPr>
        <w:pStyle w:val="Caption"/>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5F7B72">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Pri napovedi investicij smo se osredotočili na izkaz denarnih tokov (podatki so javno dostopni na </w:t>
      </w:r>
      <w:proofErr w:type="spellStart"/>
      <w:r>
        <w:rPr>
          <w:rFonts w:ascii="Calibri" w:eastAsia="Times New Roman" w:hAnsi="Calibri" w:cs="Times New Roman"/>
          <w:color w:val="000000"/>
          <w:lang w:eastAsia="sl-SI"/>
        </w:rPr>
        <w:t>Teslini</w:t>
      </w:r>
      <w:proofErr w:type="spellEnd"/>
      <w:r>
        <w:rPr>
          <w:rFonts w:ascii="Calibri" w:eastAsia="Times New Roman" w:hAnsi="Calibri" w:cs="Times New Roman"/>
          <w:color w:val="000000"/>
          <w:lang w:eastAsia="sl-SI"/>
        </w:rPr>
        <w:t xml:space="preserve"> uradni strani), kjer nas je zanimal razdelek Denarni tok iz investicijskih dejavnosti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Kot pa je razvidno na spodnjem grafu, denarni tok investicijskih dejavnosti močno niha, je težko napovedati kako se bo gibal v prihodnosti, zato je naša napoved lahko tudi precej zgrešena. Zelo zanimiv pa je pogled na leto 2017, kjer je bile vrednost denarnega toka enaka 4418967$. Sredi leta 2017 so začeli prodajati svoj najbolj prodajan Model 3, zato lahko sklepamo, da je bila rast investicij prav zaradi tega.</w:t>
      </w:r>
    </w:p>
    <w:p w:rsidR="005F7B72" w:rsidRDefault="005F7B72" w:rsidP="005F7B72">
      <w:pPr>
        <w:keepNext/>
      </w:pPr>
      <w:r>
        <w:rPr>
          <w:noProof/>
          <w:lang w:eastAsia="sl-SI"/>
        </w:rPr>
        <w:lastRenderedPageBreak/>
        <w:drawing>
          <wp:inline distT="0" distB="0" distL="0" distR="0" wp14:anchorId="174BEED8" wp14:editId="5716962E">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0363"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Pr>
          <w:noProof/>
          <w:color w:val="auto"/>
        </w:rPr>
        <w:t>10</w:t>
      </w:r>
      <w:r w:rsidRPr="005F7B72">
        <w:rPr>
          <w:color w:val="auto"/>
        </w:rPr>
        <w:fldChar w:fldCharType="end"/>
      </w:r>
      <w:r w:rsidRPr="005F7B72">
        <w:rPr>
          <w:color w:val="auto"/>
        </w:rPr>
        <w:t>: Denarni tok iz investicij v milijonih</w:t>
      </w: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Tesla pričakuje da bo v letu 2020 dobavila več kot 500 000 vozil (tu predvsem mislim Model Y, ki je v prodaji od marca 2020), kar je 36% več kot lani. Številni pa so mnenja, da je lahko prav leto 2020 prelomno leto za Teslo. Številni drugi proizvajalci bi lahko ujeli Teslo na področju izdelave električnih motorjev z močnimi in predvsem vzdržljivimi baterijami, zato so mnenja, da bo premoč Tesle v naslednjih 5 letih upadala. Ne smemo pa tudi pozabiti vpliva </w:t>
      </w:r>
      <w:proofErr w:type="spellStart"/>
      <w:r>
        <w:rPr>
          <w:rFonts w:ascii="Calibri" w:eastAsia="Times New Roman" w:hAnsi="Calibri" w:cs="Times New Roman"/>
          <w:color w:val="000000"/>
          <w:lang w:eastAsia="sl-SI"/>
        </w:rPr>
        <w:t>corona</w:t>
      </w:r>
      <w:proofErr w:type="spellEnd"/>
      <w:r>
        <w:rPr>
          <w:rFonts w:ascii="Calibri" w:eastAsia="Times New Roman" w:hAnsi="Calibri" w:cs="Times New Roman"/>
          <w:color w:val="000000"/>
          <w:lang w:eastAsia="sl-SI"/>
        </w:rPr>
        <w:t xml:space="preserve"> virusa, ki je povzročil zaprtje tovarne na Kitajskem. Zato bi na podlagi teh podatkov predvideval, da bo denarni tok v investicije nekje v sredini med letoma 2018 in 2019.</w:t>
      </w:r>
    </w:p>
    <w:p w:rsidR="00196FD5" w:rsidRDefault="00196FD5" w:rsidP="00196FD5">
      <w:r>
        <w:t xml:space="preserve">Kapitalski izdatki (angl. </w:t>
      </w:r>
      <w:proofErr w:type="spellStart"/>
      <w:r>
        <w:t>Capital</w:t>
      </w:r>
      <w:proofErr w:type="spellEnd"/>
      <w:r>
        <w:t xml:space="preserve"> </w:t>
      </w:r>
      <w:proofErr w:type="spellStart"/>
      <w:r>
        <w:t>expenditures</w:t>
      </w:r>
      <w:proofErr w:type="spellEnd"/>
      <w:r>
        <w:t xml:space="preserve">) so močno povezani z denarnim tokom investicijskih dejavnosti, kar </w:t>
      </w:r>
      <w:proofErr w:type="spellStart"/>
      <w:r>
        <w:t>vidimi</w:t>
      </w:r>
      <w:proofErr w:type="spellEnd"/>
      <w:r>
        <w:t xml:space="preserve"> tudi v primerjavi njunih grafov. Visoka sta predvsem stolpca za leto 2017 in 2018. V decembru leta 2018 se je začela gradnja tovarne na Kitajskem, medtem ko so v letu 2017 napovedali, da bodo vložili 2,5 </w:t>
      </w:r>
      <w:proofErr w:type="spellStart"/>
      <w:r>
        <w:t>miljarde</w:t>
      </w:r>
      <w:proofErr w:type="spellEnd"/>
      <w:r>
        <w:t xml:space="preserv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w:t>
      </w:r>
      <w:proofErr w:type="spellStart"/>
      <w:r>
        <w:t>megatovarne</w:t>
      </w:r>
      <w:proofErr w:type="spellEnd"/>
      <w:r>
        <w:t xml:space="preserv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 rast kapitalskih izdatkov.</w:t>
      </w:r>
    </w:p>
    <w:p w:rsidR="005F7B72" w:rsidRDefault="005F7B72" w:rsidP="005F7B72">
      <w:pPr>
        <w:keepNext/>
      </w:pPr>
      <w:r>
        <w:rPr>
          <w:noProof/>
          <w:lang w:eastAsia="sl-SI"/>
        </w:rPr>
        <w:lastRenderedPageBreak/>
        <w:drawing>
          <wp:inline distT="0" distB="0" distL="0" distR="0" wp14:anchorId="58802621" wp14:editId="4743A60A">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96FD5"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Pr="005F7B72">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r>
        <w:t>Čisti dobiček</w:t>
      </w:r>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r>
        <w:rPr>
          <w:noProof/>
          <w:lang w:eastAsia="sl-SI"/>
        </w:rPr>
        <w:drawing>
          <wp:inline distT="0" distB="0" distL="0" distR="0" wp14:anchorId="77288964">
            <wp:extent cx="5499100" cy="3213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r>
        <w:rPr>
          <w:noProof/>
          <w:lang w:eastAsia="sl-SI"/>
        </w:rPr>
        <w:lastRenderedPageBreak/>
        <w:drawing>
          <wp:inline distT="0" distB="0" distL="0" distR="0" wp14:anchorId="42C09C4B">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w:t>
      </w:r>
      <w:proofErr w:type="spellStart"/>
      <w:r>
        <w:rPr>
          <w:sz w:val="24"/>
          <w:szCs w:val="24"/>
        </w:rPr>
        <w:t>SolarCity</w:t>
      </w:r>
      <w:proofErr w:type="spellEnd"/>
      <w:r>
        <w:rPr>
          <w:sz w:val="24"/>
          <w:szCs w:val="24"/>
        </w:rPr>
        <w:t xml:space="preserve">, za katero je tesla odštela 2,2 bilijona. Z vidika širše slike, pa je podjetje Tesla </w:t>
      </w:r>
      <w:proofErr w:type="spellStart"/>
      <w:r>
        <w:rPr>
          <w:sz w:val="24"/>
          <w:szCs w:val="24"/>
        </w:rPr>
        <w:t>Motors</w:t>
      </w:r>
      <w:proofErr w:type="spellEnd"/>
      <w:r>
        <w:rPr>
          <w:sz w:val="24"/>
          <w:szCs w:val="24"/>
        </w:rPr>
        <w:t xml:space="preserve"> že zadnja 4 leta beleži izgubo. </w:t>
      </w:r>
    </w:p>
    <w:p w:rsidR="001A2D32" w:rsidRDefault="001A2D32" w:rsidP="001A2D32">
      <w:pPr>
        <w:tabs>
          <w:tab w:val="left" w:pos="1215"/>
        </w:tabs>
        <w:rPr>
          <w:sz w:val="24"/>
          <w:szCs w:val="24"/>
        </w:rPr>
      </w:pPr>
      <w:r>
        <w:rPr>
          <w:sz w:val="24"/>
          <w:szCs w:val="24"/>
        </w:rPr>
        <w:t>Glede na vse in v kakšnem stanju je trenutno svet, zahvaljujoč COVID-19, se zdi da bo tudi leto 2020 leto velikih izgub za Teslo. Kljub temu da so presegli pričakovanja v smislu prodaje za prvo četrtino leta, pa so odhodki tako neznatni, da tudi masovni prihodki niso bili dovolj da bi Teslo potegnili iz neto dohodkov.</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r>
        <w:t>VIRI</w:t>
      </w:r>
    </w:p>
    <w:p w:rsidR="004D33A1" w:rsidRPr="004D33A1" w:rsidRDefault="006F73D5"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6F73D5" w:rsidP="004D33A1">
      <w:pPr>
        <w:spacing w:after="160" w:line="259" w:lineRule="auto"/>
        <w:rPr>
          <w:rFonts w:ascii="Calibri" w:eastAsia="Calibri" w:hAnsi="Calibri" w:cs="Times New Roman"/>
        </w:rPr>
      </w:pPr>
      <w:hyperlink r:id="rId22"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6F73D5" w:rsidP="004D33A1">
      <w:pPr>
        <w:spacing w:after="160" w:line="259" w:lineRule="auto"/>
        <w:rPr>
          <w:rFonts w:ascii="Calibri" w:eastAsia="Calibri" w:hAnsi="Calibri" w:cs="Times New Roman"/>
        </w:rPr>
      </w:pPr>
      <w:hyperlink r:id="rId23" w:history="1">
        <w:r w:rsidR="004D33A1" w:rsidRPr="004D33A1">
          <w:rPr>
            <w:rStyle w:val="Hyperlink"/>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6F73D5" w:rsidP="004D33A1">
      <w:pPr>
        <w:spacing w:after="160" w:line="259" w:lineRule="auto"/>
        <w:rPr>
          <w:rFonts w:ascii="Calibri" w:eastAsia="Calibri" w:hAnsi="Calibri" w:cs="Times New Roman"/>
        </w:rPr>
      </w:pPr>
      <w:hyperlink r:id="rId24" w:history="1">
        <w:r w:rsidR="004D33A1" w:rsidRPr="004D33A1">
          <w:rPr>
            <w:rStyle w:val="Hyperlink"/>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6F73D5" w:rsidP="004D33A1">
      <w:pPr>
        <w:spacing w:after="160" w:line="259" w:lineRule="auto"/>
        <w:rPr>
          <w:rFonts w:ascii="Calibri" w:eastAsia="Calibri" w:hAnsi="Calibri" w:cs="Times New Roman"/>
        </w:rPr>
      </w:pPr>
      <w:hyperlink r:id="rId25" w:history="1">
        <w:r w:rsidR="004D33A1" w:rsidRPr="004D33A1">
          <w:rPr>
            <w:rStyle w:val="Hyperlink"/>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6F73D5" w:rsidP="00196FD5">
      <w:pPr>
        <w:spacing w:after="160" w:line="259" w:lineRule="auto"/>
        <w:rPr>
          <w:rFonts w:ascii="Calibri" w:eastAsia="Calibri" w:hAnsi="Calibri" w:cs="Times New Roman"/>
        </w:rPr>
      </w:pPr>
      <w:hyperlink r:id="rId26" w:history="1">
        <w:r w:rsidR="00196FD5" w:rsidRPr="00196FD5">
          <w:rPr>
            <w:rStyle w:val="Hyperlink"/>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6F73D5" w:rsidP="00196FD5">
      <w:pPr>
        <w:spacing w:after="160" w:line="259" w:lineRule="auto"/>
        <w:rPr>
          <w:rFonts w:ascii="Calibri" w:eastAsia="Calibri" w:hAnsi="Calibri" w:cs="Times New Roman"/>
        </w:rPr>
      </w:pPr>
      <w:hyperlink r:id="rId27" w:history="1">
        <w:r w:rsidR="00196FD5" w:rsidRPr="00196FD5">
          <w:rPr>
            <w:rStyle w:val="Hyperlink"/>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6F73D5" w:rsidP="00196FD5">
      <w:pPr>
        <w:spacing w:after="160" w:line="259" w:lineRule="auto"/>
        <w:rPr>
          <w:rFonts w:ascii="Calibri" w:eastAsia="Calibri" w:hAnsi="Calibri" w:cs="Times New Roman"/>
        </w:rPr>
      </w:pPr>
      <w:hyperlink r:id="rId28" w:history="1">
        <w:r w:rsidR="00196FD5" w:rsidRPr="00196FD5">
          <w:rPr>
            <w:rStyle w:val="Hyperlink"/>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6F73D5" w:rsidP="00196FD5">
      <w:pPr>
        <w:spacing w:after="160" w:line="259" w:lineRule="auto"/>
        <w:rPr>
          <w:rFonts w:ascii="Calibri" w:eastAsia="Calibri" w:hAnsi="Calibri" w:cs="Times New Roman"/>
        </w:rPr>
      </w:pPr>
      <w:hyperlink r:id="rId29" w:history="1">
        <w:r w:rsidR="00196FD5" w:rsidRPr="00196FD5">
          <w:rPr>
            <w:rStyle w:val="Hyperlink"/>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6F73D5" w:rsidP="00196FD5">
      <w:pPr>
        <w:spacing w:after="160" w:line="259" w:lineRule="auto"/>
        <w:rPr>
          <w:rFonts w:ascii="Calibri" w:eastAsia="Calibri" w:hAnsi="Calibri" w:cs="Times New Roman"/>
          <w:lang w:val="en-US"/>
        </w:rPr>
      </w:pPr>
      <w:hyperlink r:id="rId30" w:history="1">
        <w:r w:rsidR="00196FD5" w:rsidRPr="00196FD5">
          <w:rPr>
            <w:rStyle w:val="Hyperlink"/>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6F73D5" w:rsidP="00196FD5">
      <w:pPr>
        <w:spacing w:after="160" w:line="259" w:lineRule="auto"/>
        <w:rPr>
          <w:rFonts w:ascii="Calibri" w:eastAsia="Calibri" w:hAnsi="Calibri" w:cs="Times New Roman"/>
          <w:lang w:val="en-US"/>
        </w:rPr>
      </w:pPr>
      <w:hyperlink r:id="rId31" w:history="1">
        <w:r w:rsidR="00196FD5" w:rsidRPr="00196FD5">
          <w:rPr>
            <w:rStyle w:val="Hyperlink"/>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6F73D5" w:rsidP="004D33A1">
      <w:pPr>
        <w:spacing w:after="160" w:line="259" w:lineRule="auto"/>
        <w:rPr>
          <w:rFonts w:ascii="Calibri" w:eastAsia="Calibri" w:hAnsi="Calibri" w:cs="Times New Roman"/>
        </w:rPr>
      </w:pPr>
      <w:hyperlink r:id="rId32" w:history="1">
        <w:r w:rsidRPr="006F73D5">
          <w:rPr>
            <w:color w:val="0000FF"/>
            <w:u w:val="single"/>
          </w:rPr>
          <w:t>https://www.theverge.com/2017/3/8/14854858/tesla-solar-hawaii-kauai-kiuc-powerpack-battery-generator</w:t>
        </w:r>
      </w:hyperlink>
      <w:r>
        <w:t xml:space="preserve"> (28.4.2020)</w:t>
      </w:r>
      <w:bookmarkStart w:id="0" w:name="_GoBack"/>
      <w:bookmarkEnd w:id="0"/>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09181E"/>
    <w:rsid w:val="001152A8"/>
    <w:rsid w:val="00196FD5"/>
    <w:rsid w:val="001A2D32"/>
    <w:rsid w:val="00433C2C"/>
    <w:rsid w:val="004D33A1"/>
    <w:rsid w:val="005F7B72"/>
    <w:rsid w:val="006F73D5"/>
    <w:rsid w:val="008F19D7"/>
    <w:rsid w:val="00BF0363"/>
    <w:rsid w:val="00CF30E0"/>
    <w:rsid w:val="00DA32D0"/>
    <w:rsid w:val="00E47B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26" Type="http://schemas.openxmlformats.org/officeDocument/2006/relationships/hyperlink" Target="https://www.geotab.com/white-paper/electric-vehicle-trends/" TargetMode="External"/><Relationship Id="rId3" Type="http://schemas.openxmlformats.org/officeDocument/2006/relationships/styles" Target="styles.xml"/><Relationship Id="rId21" Type="http://schemas.openxmlformats.org/officeDocument/2006/relationships/hyperlink" Target="https://en.wikipedia.org/wiki/Tesla,_Inc."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hyperlink" Target="https://en.wikipedia.org/wiki/Geel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hyperlink" Target="https://www.theverge.com/2020/1/3/21047233/tesla-2019-deliveries-q4-record-model-3-sa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sl.wikipedia.org/wiki/Toyota" TargetMode="External"/><Relationship Id="rId32" Type="http://schemas.openxmlformats.org/officeDocument/2006/relationships/hyperlink" Target="https://www.theverge.com/2017/3/8/14854858/tesla-solar-hawaii-kauai-kiuc-powerpack-battery-generator"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en.wikipedia.org/wiki/Toyota" TargetMode="External"/><Relationship Id="rId28" Type="http://schemas.openxmlformats.org/officeDocument/2006/relationships/hyperlink" Target="https://www.tesla.com/about"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www.fool.com/investing/2017/08/23/tesla-incs-capital-expenditures-are-soaring.aspx"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esla.com/" TargetMode="External"/><Relationship Id="rId27" Type="http://schemas.openxmlformats.org/officeDocument/2006/relationships/hyperlink" Target="https://www.statista.com/statistics/314741/revenue-of-tesla-by-segment/" TargetMode="External"/><Relationship Id="rId30" Type="http://schemas.openxmlformats.org/officeDocument/2006/relationships/hyperlink" Target="https://www.fool.com/investing/2020/02/19/where-will-tesla-be-in-5-years.asp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l-SI"/>
              <a:t>Nakup</a:t>
            </a:r>
            <a:r>
              <a:rPr lang="sl-SI" baseline="0"/>
              <a:t> sistemov za proizvodnjo sončne energije</a:t>
            </a:r>
            <a:endParaRPr lang="en-US"/>
          </a:p>
        </c:rich>
      </c:tx>
      <c:layout>
        <c:manualLayout>
          <c:xMode val="edge"/>
          <c:yMode val="edge"/>
          <c:x val="0.19012489063867019"/>
          <c:y val="3.2407407407407406E-2"/>
        </c:manualLayout>
      </c:layout>
      <c:overlay val="0"/>
    </c:title>
    <c:autoTitleDeleted val="0"/>
    <c:plotArea>
      <c:layout/>
      <c:barChart>
        <c:barDir val="col"/>
        <c:grouping val="stacked"/>
        <c:varyColors val="0"/>
        <c:ser>
          <c:idx val="0"/>
          <c:order val="0"/>
          <c:tx>
            <c:strRef>
              <c:f>'Investicije Tesla stran'!$A$18</c:f>
              <c:strCache>
                <c:ptCount val="1"/>
                <c:pt idx="0">
                  <c:v>Payments for the cost of solar energy</c:v>
                </c:pt>
              </c:strCache>
            </c:strRef>
          </c:tx>
          <c:invertIfNegative val="0"/>
          <c:cat>
            <c:numRef>
              <c:f>'Investicije Tesla stran'!$B$12:$E$12</c:f>
              <c:numCache>
                <c:formatCode>0</c:formatCode>
                <c:ptCount val="4"/>
                <c:pt idx="0">
                  <c:v>2019</c:v>
                </c:pt>
                <c:pt idx="1">
                  <c:v>2018</c:v>
                </c:pt>
                <c:pt idx="2">
                  <c:v>2017</c:v>
                </c:pt>
                <c:pt idx="3">
                  <c:v>2016</c:v>
                </c:pt>
              </c:numCache>
            </c:numRef>
          </c:cat>
          <c:val>
            <c:numRef>
              <c:f>'Investicije Tesla stran'!$B$18:$E$18</c:f>
              <c:numCache>
                <c:formatCode>0</c:formatCode>
                <c:ptCount val="4"/>
                <c:pt idx="0">
                  <c:v>105458000</c:v>
                </c:pt>
                <c:pt idx="1">
                  <c:v>218792000</c:v>
                </c:pt>
                <c:pt idx="2">
                  <c:v>666540000</c:v>
                </c:pt>
                <c:pt idx="3">
                  <c:v>159669000</c:v>
                </c:pt>
              </c:numCache>
            </c:numRef>
          </c:val>
        </c:ser>
        <c:dLbls>
          <c:showLegendKey val="0"/>
          <c:showVal val="0"/>
          <c:showCatName val="0"/>
          <c:showSerName val="0"/>
          <c:showPercent val="0"/>
          <c:showBubbleSize val="0"/>
        </c:dLbls>
        <c:gapWidth val="150"/>
        <c:overlap val="100"/>
        <c:axId val="145176448"/>
        <c:axId val="196222976"/>
      </c:barChart>
      <c:catAx>
        <c:axId val="145176448"/>
        <c:scaling>
          <c:orientation val="minMax"/>
        </c:scaling>
        <c:delete val="0"/>
        <c:axPos val="b"/>
        <c:numFmt formatCode="0" sourceLinked="1"/>
        <c:majorTickMark val="out"/>
        <c:minorTickMark val="none"/>
        <c:tickLblPos val="nextTo"/>
        <c:crossAx val="196222976"/>
        <c:crosses val="autoZero"/>
        <c:auto val="1"/>
        <c:lblAlgn val="ctr"/>
        <c:lblOffset val="100"/>
        <c:noMultiLvlLbl val="0"/>
      </c:catAx>
      <c:valAx>
        <c:axId val="196222976"/>
        <c:scaling>
          <c:orientation val="minMax"/>
        </c:scaling>
        <c:delete val="0"/>
        <c:axPos val="l"/>
        <c:majorGridlines/>
        <c:numFmt formatCode="0" sourceLinked="1"/>
        <c:majorTickMark val="out"/>
        <c:minorTickMark val="none"/>
        <c:tickLblPos val="nextTo"/>
        <c:crossAx val="145176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526469888884511"/>
          <c:y val="2.28038869315053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1"/>
          <c:order val="0"/>
          <c:tx>
            <c:strRef>
              <c:f>'[Zvezek1 (1).xlsx]Investicije Tesla stran'!$A$15</c:f>
              <c:strCache>
                <c:ptCount val="1"/>
                <c:pt idx="0">
                  <c:v>Stroški  za razvoj in raziskave</c:v>
                </c:pt>
              </c:strCache>
            </c:strRef>
          </c:tx>
          <c:spPr>
            <a:solidFill>
              <a:schemeClr val="accent2"/>
            </a:solidFill>
            <a:ln>
              <a:noFill/>
            </a:ln>
            <a:effectLst/>
          </c:spPr>
          <c:invertIfNegative val="0"/>
          <c:cat>
            <c:numRef>
              <c:f>'[Zvezek1 (1).xlsx]Investicije Tesla stran'!$B$12:$I$12</c:f>
              <c:numCache>
                <c:formatCode>0</c:formatCode>
                <c:ptCount val="8"/>
                <c:pt idx="0">
                  <c:v>2019</c:v>
                </c:pt>
                <c:pt idx="1">
                  <c:v>2018</c:v>
                </c:pt>
                <c:pt idx="2">
                  <c:v>2017</c:v>
                </c:pt>
                <c:pt idx="3">
                  <c:v>2016</c:v>
                </c:pt>
                <c:pt idx="4">
                  <c:v>2015</c:v>
                </c:pt>
                <c:pt idx="5">
                  <c:v>2014</c:v>
                </c:pt>
                <c:pt idx="6">
                  <c:v>2013</c:v>
                </c:pt>
                <c:pt idx="7">
                  <c:v>2012</c:v>
                </c:pt>
              </c:numCache>
            </c:numRef>
          </c:cat>
          <c:val>
            <c:numRef>
              <c:f>'[Zvezek1 (1).xlsx]Investicije Tesla stran'!$B$15:$I$15</c:f>
              <c:numCache>
                <c:formatCode>0</c:formatCode>
                <c:ptCount val="8"/>
                <c:pt idx="0">
                  <c:v>1343.0719999999999</c:v>
                </c:pt>
                <c:pt idx="1">
                  <c:v>1460.37</c:v>
                </c:pt>
                <c:pt idx="2">
                  <c:v>1378.0730000000001</c:v>
                </c:pt>
                <c:pt idx="3">
                  <c:v>834.40800000000002</c:v>
                </c:pt>
                <c:pt idx="4">
                  <c:v>717.9</c:v>
                </c:pt>
                <c:pt idx="5">
                  <c:v>464.7</c:v>
                </c:pt>
                <c:pt idx="6">
                  <c:v>231.976</c:v>
                </c:pt>
                <c:pt idx="7">
                  <c:v>273.97800000000001</c:v>
                </c:pt>
              </c:numCache>
            </c:numRef>
          </c:val>
        </c:ser>
        <c:dLbls>
          <c:showLegendKey val="0"/>
          <c:showVal val="0"/>
          <c:showCatName val="0"/>
          <c:showSerName val="0"/>
          <c:showPercent val="0"/>
          <c:showBubbleSize val="0"/>
        </c:dLbls>
        <c:gapWidth val="219"/>
        <c:overlap val="-27"/>
        <c:axId val="196404736"/>
        <c:axId val="193790336"/>
        <c:extLst>
          <c:ext xmlns:c15="http://schemas.microsoft.com/office/drawing/2012/chart" uri="{02D57815-91ED-43cb-92C2-25804820EDAC}">
            <c15:filteredBarSeries>
              <c15:ser>
                <c:idx val="0"/>
                <c:order val="0"/>
                <c:tx>
                  <c:strRef>
                    <c:extLst>
                      <c:ext uri="{02D57815-91ED-43cb-92C2-25804820EDAC}">
                        <c15:formulaRef>
                          <c15:sqref>'Investicije Tesla stran'!$A$13</c15:sqref>
                        </c15:formulaRef>
                      </c:ext>
                    </c:extLst>
                    <c:strCache>
                      <c:ptCount val="1"/>
                      <c:pt idx="0">
                        <c:v>Denarni tok iz investicij</c:v>
                      </c:pt>
                    </c:strCache>
                  </c:strRef>
                </c:tx>
                <c:spPr>
                  <a:solidFill>
                    <a:schemeClr val="accent1"/>
                  </a:solidFill>
                  <a:ln>
                    <a:noFill/>
                  </a:ln>
                  <a:effectLst/>
                </c:spPr>
                <c:invertIfNegative val="0"/>
                <c:cat>
                  <c:numRef>
                    <c:extLst>
                      <c:ex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c:ext uri="{02D57815-91ED-43cb-92C2-25804820EDAC}">
                        <c15:formulaRef>
                          <c15:sqref>'Investicije Tesla stran'!$B$13:$I$13</c15:sqref>
                        </c15:formulaRef>
                      </c:ext>
                    </c:extLst>
                    <c:numCache>
                      <c:formatCode>0</c:formatCode>
                      <c:ptCount val="8"/>
                      <c:pt idx="0">
                        <c:v>1436388000</c:v>
                      </c:pt>
                      <c:pt idx="1">
                        <c:v>2337428000</c:v>
                      </c:pt>
                      <c:pt idx="2">
                        <c:v>4418967000</c:v>
                      </c:pt>
                      <c:pt idx="3">
                        <c:v>141643000</c:v>
                      </c:pt>
                      <c:pt idx="4">
                        <c:v>1673551000</c:v>
                      </c:pt>
                      <c:pt idx="5">
                        <c:v>995664000</c:v>
                      </c:pt>
                      <c:pt idx="6">
                        <c:v>249417000</c:v>
                      </c:pt>
                      <c:pt idx="7">
                        <c:v>238151000</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'Investicije Tesla stran'!$A$16</c15:sqref>
                        </c15:formulaRef>
                      </c:ext>
                    </c:extLst>
                    <c:strCache>
                      <c:ptCount val="1"/>
                      <c:pt idx="0">
                        <c:v>Celotni stroški</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xmlns:c15="http://schemas.microsoft.com/office/drawing/2012/chart">
                      <c:ext xmlns:c15="http://schemas.microsoft.com/office/drawing/2012/chart" uri="{02D57815-91ED-43cb-92C2-25804820EDAC}">
                        <c15:formulaRef>
                          <c15:sqref>'Investicije Tesla stran'!$B$16:$I$16</c15:sqref>
                        </c15:formulaRef>
                      </c:ext>
                    </c:extLst>
                    <c:numCache>
                      <c:formatCode>0</c:formatCode>
                      <c:ptCount val="8"/>
                      <c:pt idx="0">
                        <c:v>4138078000</c:v>
                      </c:pt>
                      <c:pt idx="1">
                        <c:v>4430094000</c:v>
                      </c:pt>
                      <c:pt idx="2">
                        <c:v>3854573000</c:v>
                      </c:pt>
                      <c:pt idx="3">
                        <c:v>2266597000</c:v>
                      </c:pt>
                      <c:pt idx="4">
                        <c:v>1640132000</c:v>
                      </c:pt>
                      <c:pt idx="5">
                        <c:v>1068360000</c:v>
                      </c:pt>
                      <c:pt idx="6">
                        <c:v>517545000</c:v>
                      </c:pt>
                      <c:pt idx="7">
                        <c:v>424350000</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'Investicije Tesla stran'!$A$17</c15:sqref>
                        </c15:formulaRef>
                      </c:ext>
                    </c:extLst>
                    <c:strCache>
                      <c:ptCount val="1"/>
                      <c:pt idx="0">
                        <c:v>%stroškov glede na celotne stroške</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xmlns:c15="http://schemas.microsoft.com/office/drawing/2012/chart">
                      <c:ext xmlns:c15="http://schemas.microsoft.com/office/drawing/2012/chart" uri="{02D57815-91ED-43cb-92C2-25804820EDAC}">
                        <c15:formulaRef>
                          <c15:sqref>'Investicije Tesla stran'!$B$17:$I$17</c15:sqref>
                        </c15:formulaRef>
                      </c:ext>
                    </c:extLst>
                    <c:numCache>
                      <c:formatCode>0.00%</c:formatCode>
                      <c:ptCount val="8"/>
                      <c:pt idx="0">
                        <c:v>0.32456420589462065</c:v>
                      </c:pt>
                      <c:pt idx="1">
                        <c:v>0.32964763275903403</c:v>
                      </c:pt>
                      <c:pt idx="2">
                        <c:v>0.35751638378621964</c:v>
                      </c:pt>
                      <c:pt idx="3">
                        <c:v>0.3681324911309774</c:v>
                      </c:pt>
                      <c:pt idx="4">
                        <c:v>0.43770867222882059</c:v>
                      </c:pt>
                      <c:pt idx="5">
                        <c:v>0.43496574188475795</c:v>
                      </c:pt>
                      <c:pt idx="6">
                        <c:v>0.44822382594750215</c:v>
                      </c:pt>
                      <c:pt idx="7">
                        <c:v>0.64564156945917284</c:v>
                      </c:pt>
                    </c:numCache>
                  </c:numRef>
                </c:val>
              </c15:ser>
            </c15:filteredBarSeries>
          </c:ext>
        </c:extLst>
      </c:barChart>
      <c:catAx>
        <c:axId val="1964047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3790336"/>
        <c:crosses val="autoZero"/>
        <c:auto val="1"/>
        <c:lblAlgn val="ctr"/>
        <c:lblOffset val="100"/>
        <c:noMultiLvlLbl val="0"/>
      </c:catAx>
      <c:valAx>
        <c:axId val="193790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640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0"/>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ser>
        <c:ser>
          <c:idx val="2"/>
          <c:order val="1"/>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ser>
        <c:dLbls>
          <c:showLegendKey val="0"/>
          <c:showVal val="0"/>
          <c:showCatName val="0"/>
          <c:showSerName val="0"/>
          <c:showPercent val="0"/>
          <c:showBubbleSize val="0"/>
        </c:dLbls>
        <c:gapWidth val="150"/>
        <c:overlap val="100"/>
        <c:axId val="193815296"/>
        <c:axId val="193816832"/>
        <c:extLs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15:ser>
            </c15:filteredBarSeries>
          </c:ext>
        </c:extLst>
      </c:barChart>
      <c:catAx>
        <c:axId val="19381529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3816832"/>
        <c:crosses val="autoZero"/>
        <c:auto val="1"/>
        <c:lblAlgn val="ctr"/>
        <c:lblOffset val="100"/>
        <c:noMultiLvlLbl val="0"/>
      </c:catAx>
      <c:valAx>
        <c:axId val="193816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381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0"/>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ser>
        <c:ser>
          <c:idx val="2"/>
          <c:order val="1"/>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ser>
        <c:dLbls>
          <c:showLegendKey val="0"/>
          <c:showVal val="0"/>
          <c:showCatName val="0"/>
          <c:showSerName val="0"/>
          <c:showPercent val="0"/>
          <c:showBubbleSize val="0"/>
        </c:dLbls>
        <c:gapWidth val="150"/>
        <c:overlap val="100"/>
        <c:axId val="193833600"/>
        <c:axId val="194441600"/>
        <c:extLs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15:ser>
            </c15:filteredBarSeries>
          </c:ext>
        </c:extLst>
      </c:barChart>
      <c:catAx>
        <c:axId val="19383360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4441600"/>
        <c:crosses val="autoZero"/>
        <c:auto val="1"/>
        <c:lblAlgn val="ctr"/>
        <c:lblOffset val="100"/>
        <c:noMultiLvlLbl val="0"/>
      </c:catAx>
      <c:valAx>
        <c:axId val="194441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9383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5519-7D61-4C61-898F-AB87F57D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3</cp:revision>
  <dcterms:created xsi:type="dcterms:W3CDTF">2020-04-27T17:34:00Z</dcterms:created>
  <dcterms:modified xsi:type="dcterms:W3CDTF">2020-04-28T07:27:00Z</dcterms:modified>
</cp:coreProperties>
</file>