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bookmarkStart w:id="0" w:name="_GoBack"/>
      <w:bookmarkEnd w:id="0"/>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Duščak Nejc, Maks Perbil,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pPr>
        <w:rPr>
          <w:b/>
          <w:sz w:val="24"/>
        </w:rPr>
      </w:pPr>
      <w:r w:rsidRPr="00EB4C24">
        <w:rPr>
          <w:b/>
          <w:sz w:val="24"/>
        </w:rPr>
        <w:lastRenderedPageBreak/>
        <w:t>KAZALO</w:t>
      </w:r>
    </w:p>
    <w:p w:rsidR="00851447" w:rsidRDefault="00851447" w:rsidP="00E47BEA">
      <w:pPr>
        <w:pStyle w:val="Naslovi2"/>
        <w:numPr>
          <w:ilvl w:val="0"/>
          <w:numId w:val="0"/>
        </w:numPr>
        <w:ind w:left="720"/>
      </w:pPr>
    </w:p>
    <w:p w:rsidR="00E47BEA" w:rsidRDefault="00E47BEA" w:rsidP="00E47BEA">
      <w:pPr>
        <w:pStyle w:val="Naslovi1"/>
      </w:pPr>
      <w:bookmarkStart w:id="1" w:name="_Toc38967801"/>
      <w:r>
        <w:t>UVOD</w:t>
      </w:r>
      <w:bookmarkEnd w:id="1"/>
    </w:p>
    <w:p w:rsidR="00E47BEA" w:rsidRDefault="00E47BEA" w:rsidP="00E47BEA">
      <w:pPr>
        <w:pStyle w:val="Naslovi1"/>
      </w:pPr>
      <w:bookmarkStart w:id="2" w:name="_Toc38967802"/>
      <w:r>
        <w:t>družba tesla</w:t>
      </w:r>
      <w:bookmarkEnd w:id="2"/>
    </w:p>
    <w:p w:rsidR="004D33A1" w:rsidRDefault="004D33A1" w:rsidP="004D33A1">
      <w:pPr>
        <w:pStyle w:val="Naslovi2"/>
      </w:pPr>
      <w:bookmarkStart w:id="3" w:name="_Toc38967803"/>
      <w:r>
        <w:t>Predstavitev družbe Tesla</w:t>
      </w:r>
      <w:bookmarkEnd w:id="3"/>
    </w:p>
    <w:p w:rsidR="004D33A1" w:rsidRDefault="004D33A1" w:rsidP="004D33A1">
      <w:r>
        <w:t xml:space="preserve">Tesla je ameriško podjetje za električna vozila in čisto energijo s sedežem v Palo Altu v Kaliforniji. Teslo je leta 2003 ustanovila skupina inženirjev (Martin Eberhard in Marc Tarpenning), ki je želela dokazati, da ljudem ni treba sklepati kompromisov, če želijo voziti električna vozila; da so električna vozila lahko boljša, hitrejša in bolj zabavna kot bencinski avtomobili. Elon Musk je bil odgovoren za 98 % začetnega financiranja in je opravljal funkcijo predsednika odbora. 29. junija 2010 je Tesla Motors začela kotirati na borzi NASDAQ pod imenom TSLA. </w:t>
      </w:r>
    </w:p>
    <w:p w:rsidR="004D33A1" w:rsidRDefault="004D33A1" w:rsidP="004D33A1">
      <w:r>
        <w:t>Cilj podjetja je pospešitev svetovnega prehoda na obnovljive vire energije.</w:t>
      </w:r>
    </w:p>
    <w:p w:rsidR="004D33A1" w:rsidRDefault="004D33A1" w:rsidP="004D33A1">
      <w:r>
        <w:t>Podjetje je leta 2019 zaposlovalo 48.016 ljudi. Največji delež lastništva podjetja ima Elon Musk (21,7 %).</w:t>
      </w:r>
    </w:p>
    <w:p w:rsidR="004D33A1" w:rsidRDefault="004D33A1" w:rsidP="004D33A1">
      <w:r>
        <w:t>Podjetje je specializirano za proizvodnjo električnih vozil (Model S, Model 3, Model X, Model Y, Tesla Roadster, Tesla Cybertruck), baterij (Powerwall, Powerpack, Megapack),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Vsa Tesla vozila so izdelana v tovarni v Fremontu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Za ustvarjanje celotnega trajnostnega energetskega ekosistema Tesla izdeluje tudi edinstven nabor energetskih rešitev, Powerwall, Powerpack in Solar Roof, ki lastnikom domov, podjetjem in podjetjem omogoča upravljanje proizvodnje, skladiščenja in porabe obnovljivih virov energije. Gigafactory 1 je pripomoček za podporo Teslinim avtomobilskim in energetskim izdelkom, ki je zasnovan tako, da znatno zmanjša stroške baterijskih celic.</w:t>
      </w:r>
    </w:p>
    <w:p w:rsidR="004D33A1" w:rsidRDefault="004D33A1" w:rsidP="004D33A1">
      <w:r>
        <w:t xml:space="preserve">Tesla poizkuša proizvajati cenovno vedno dostopnejše avtomobile. Tesla se trudi proizvajati izdelke, ki so (cenevno) dostopni več in več ljudem, kar na koncu pospeši pojav čistega prevoza in proizvodnje </w:t>
      </w:r>
      <w:r>
        <w:lastRenderedPageBreak/>
        <w:t>čiste energije. Aprila 2019 je Elon Musk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bookmarkStart w:id="4" w:name="_Toc38967804"/>
      <w:r>
        <w:t>Predstavitev konkurenčnih podjetij</w:t>
      </w:r>
      <w:bookmarkEnd w:id="4"/>
    </w:p>
    <w:p w:rsidR="004D33A1" w:rsidRDefault="004D33A1" w:rsidP="004D33A1">
      <w:pPr>
        <w:pStyle w:val="Naslovi3"/>
      </w:pPr>
      <w:bookmarkStart w:id="5" w:name="_Toc38967805"/>
      <w:r>
        <w:t>Toyota</w:t>
      </w:r>
      <w:bookmarkEnd w:id="5"/>
    </w:p>
    <w:p w:rsidR="004D33A1" w:rsidRDefault="004D33A1" w:rsidP="004D33A1">
      <w:r>
        <w:t>Toyota Motor Corporation je največji svetovni in japonski proizvajalec avtomobilov. Ustanovljena je bila leta 1937. Po dobičku in borzni vrednosti je podjetje že vrsto let največje na svetu.</w:t>
      </w:r>
    </w:p>
    <w:p w:rsidR="004D33A1" w:rsidRDefault="004D33A1" w:rsidP="004D33A1">
      <w:r>
        <w:t>Toyota je vodilno podjetje na trgu prodaje hibridnih električnih vozil , ena največjih podjetij, ki je spodbujala sprejem hibridnih vozil na množični trg po vsem svetu, in prva, ki je tržila množično proizvodnjo in prodajo takšnih vozil, z uvedbo Toyota Prius leta 1997. Podjetje je sčasoma začelo ponujati to možnost na svojih glavnih osebnih avtomobilih. Prodaja modelov hibridnih osebnih avtomobilov Toyota in Lexus je januarja 2017 prešla mejnik 10 milijonov.</w:t>
      </w:r>
    </w:p>
    <w:p w:rsidR="004D33A1" w:rsidRDefault="004D33A1" w:rsidP="004D33A1">
      <w:r>
        <w:t>Maja 2010 je Toyota začela sodelovanje s Tesla Motors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bookmarkStart w:id="6" w:name="_Toc38967806"/>
      <w:r>
        <w:t>Geely</w:t>
      </w:r>
      <w:bookmarkEnd w:id="6"/>
    </w:p>
    <w:p w:rsidR="004D33A1" w:rsidRDefault="004D33A1" w:rsidP="004D33A1">
      <w:r>
        <w:t xml:space="preserve">Podjetje je bilo ustanovljeno leta 1986, v avtomobilsko industrijo pa je vstopilo leta 1997 z blagovno znamko Geely Auto. Prodaja osebna vozila pod znamkami Geely Auto, Lotus, Lynk &amp; Co, PROTON in Volvo, </w:t>
      </w:r>
    </w:p>
    <w:p w:rsidR="004D33A1" w:rsidRDefault="004D33A1" w:rsidP="004D33A1">
      <w:r>
        <w:t>Blagovni znamki skupine Geely New Energy Commercial Vehicle, ki se ukvarja z električnimi avtomobili sta London Electric Company in Yuan Cheng Auto</w:t>
      </w:r>
    </w:p>
    <w:p w:rsidR="004D33A1" w:rsidRDefault="004D33A1" w:rsidP="004D33A1">
      <w:r>
        <w:t xml:space="preserve"> Londonsko taksi podjetje, ki ga je Zhejiang Geely Holding Group prevzela leta 2013, je leta 2017 spremenilo ime v London Electric Company (LEVC), da bi odražalo novo poslanstvo razvoja in proizvodnje električnih gospodarskih vozil.</w:t>
      </w:r>
    </w:p>
    <w:p w:rsidR="004D33A1" w:rsidRDefault="004D33A1" w:rsidP="004D33A1">
      <w:r>
        <w:t>Yuan Cheng Auto - Yuan Cheng Auto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bookmarkStart w:id="7" w:name="_Toc38967807"/>
      <w:r>
        <w:t>Predstavitev trendov na trgu</w:t>
      </w:r>
      <w:bookmarkEnd w:id="7"/>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w:t>
      </w:r>
      <w:r>
        <w:lastRenderedPageBreak/>
        <w:t xml:space="preserve">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eastAsia="sl-SI"/>
        </w:rPr>
        <w:drawing>
          <wp:inline distT="0" distB="0" distL="0" distR="0" wp14:anchorId="62F5F490" wp14:editId="10B41647">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9">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5010F">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Semi). Prav tako pa lahko zasledimo, da si Tesla prizadeva za ustvarjanje celotnega trajnostnega energetskega ekosistema. Tesla izdeluje edinstven nabor energetskih rešitev (Powerwall, Powerpack in Solar Roof), ki lastnikom omogoča upravljanje, shranjevanje in porabo obnovljivih virov energije.  </w:t>
      </w:r>
    </w:p>
    <w:p w:rsidR="00196FD5" w:rsidRDefault="00196FD5" w:rsidP="00196FD5">
      <w:r>
        <w:t>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Elon Musk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BF0363">
      <w:pPr>
        <w:pStyle w:val="Naslovi2"/>
      </w:pPr>
      <w:bookmarkStart w:id="8" w:name="_Toc38967808"/>
      <w:r w:rsidRPr="00BF0363">
        <w:t>Delnice Tesla</w:t>
      </w:r>
      <w:bookmarkEnd w:id="8"/>
    </w:p>
    <w:p w:rsidR="001A2D32" w:rsidRPr="00BF0363" w:rsidRDefault="001A2D32" w:rsidP="001A2D32">
      <w:r w:rsidRPr="00BF0363">
        <w:lastRenderedPageBreak/>
        <w:t>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Vendar kakor hitro so zrastle so tudi padle, namreč zgolj mesec kasneje 18.3.2020 je bila vrednost ene le še minimalističnih 361 dolarjev.  Najverjetneje je imel med drugim velik vpliv tudi novonastali koronavirus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Po podatkih naj bi bilo vseh delnic tesle kar 184.39M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eastAsia="sl-SI"/>
        </w:rPr>
        <w:drawing>
          <wp:inline distT="0" distB="0" distL="0" distR="0" wp14:anchorId="67C74CBA" wp14:editId="63D7587B">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A5010F">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bookmarkStart w:id="9" w:name="_Toc38967809"/>
      <w:r>
        <w:t>nAPOVEDI</w:t>
      </w:r>
      <w:bookmarkEnd w:id="9"/>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bookmarkStart w:id="10" w:name="_Toc38967810"/>
      <w:r>
        <w:t>Napoved prihodkov</w:t>
      </w:r>
      <w:bookmarkEnd w:id="10"/>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EE2DC4" w:rsidRDefault="00196FD5" w:rsidP="00EE2DC4">
      <w:pPr>
        <w:keepNext/>
      </w:pPr>
      <w:r>
        <w:lastRenderedPageBreak/>
        <w:tab/>
      </w:r>
      <w:r w:rsidR="00EE2DC4" w:rsidRPr="00E61425">
        <w:rPr>
          <w:noProof/>
          <w:lang w:eastAsia="sl-SI"/>
        </w:rPr>
        <w:drawing>
          <wp:inline distT="0" distB="0" distL="0" distR="0" wp14:anchorId="576A4983" wp14:editId="239316D6">
            <wp:extent cx="5760720" cy="2722802"/>
            <wp:effectExtent l="0" t="0" r="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22802"/>
                    </a:xfrm>
                    <a:prstGeom prst="rect">
                      <a:avLst/>
                    </a:prstGeom>
                  </pic:spPr>
                </pic:pic>
              </a:graphicData>
            </a:graphic>
          </wp:inline>
        </w:drawing>
      </w:r>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3</w:t>
      </w:r>
      <w:r w:rsidRPr="00EE2DC4">
        <w:rPr>
          <w:color w:val="auto"/>
        </w:rPr>
        <w:fldChar w:fldCharType="end"/>
      </w:r>
      <w:r w:rsidRPr="00EE2DC4">
        <w:rPr>
          <w:color w:val="auto"/>
        </w:rPr>
        <w:t>: Prihodki v milijonih</w:t>
      </w:r>
    </w:p>
    <w:p w:rsidR="00196FD5" w:rsidRDefault="00196FD5" w:rsidP="00196FD5"/>
    <w:p w:rsidR="00196FD5" w:rsidRDefault="00196FD5" w:rsidP="00196FD5">
      <w:r>
        <w:t>Kot je razvidno na grafu, je tudi v priho</w:t>
      </w:r>
      <w:r w:rsidR="00A35C3E">
        <w:t xml:space="preserve">dnjih dveh letih </w:t>
      </w:r>
      <w:r>
        <w:t>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A35C3E" w:rsidRDefault="00196FD5" w:rsidP="00A35C3E">
      <w:pPr>
        <w:keepNext/>
      </w:pPr>
      <w:r>
        <w:t xml:space="preserve"> </w:t>
      </w:r>
      <w:r w:rsidR="00EE2DC4" w:rsidRPr="007F081A">
        <w:rPr>
          <w:noProof/>
          <w:lang w:eastAsia="sl-SI"/>
        </w:rPr>
        <w:drawing>
          <wp:inline distT="0" distB="0" distL="0" distR="0" wp14:anchorId="5CDFC6F7" wp14:editId="0FE0C68D">
            <wp:extent cx="4602879" cy="2719052"/>
            <wp:effectExtent l="0" t="0" r="7620" b="571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2719052"/>
                    </a:xfrm>
                    <a:prstGeom prst="rect">
                      <a:avLst/>
                    </a:prstGeom>
                  </pic:spPr>
                </pic:pic>
              </a:graphicData>
            </a:graphic>
          </wp:inline>
        </w:drawing>
      </w:r>
    </w:p>
    <w:p w:rsidR="00EE2DC4" w:rsidRPr="00A35C3E" w:rsidRDefault="00A35C3E" w:rsidP="00A35C3E">
      <w:pPr>
        <w:pStyle w:val="Caption"/>
        <w:jc w:val="center"/>
        <w:rPr>
          <w:color w:val="auto"/>
        </w:rPr>
      </w:pPr>
      <w:r w:rsidRPr="00A35C3E">
        <w:rPr>
          <w:color w:val="auto"/>
        </w:rPr>
        <w:t xml:space="preserve">Slika </w:t>
      </w:r>
      <w:r w:rsidRPr="00A35C3E">
        <w:rPr>
          <w:color w:val="auto"/>
        </w:rPr>
        <w:fldChar w:fldCharType="begin"/>
      </w:r>
      <w:r w:rsidRPr="00A35C3E">
        <w:rPr>
          <w:color w:val="auto"/>
        </w:rPr>
        <w:instrText xml:space="preserve"> SEQ Slika \* ARABIC </w:instrText>
      </w:r>
      <w:r w:rsidRPr="00A35C3E">
        <w:rPr>
          <w:color w:val="auto"/>
        </w:rPr>
        <w:fldChar w:fldCharType="separate"/>
      </w:r>
      <w:r w:rsidR="00A5010F">
        <w:rPr>
          <w:noProof/>
          <w:color w:val="auto"/>
        </w:rPr>
        <w:t>4</w:t>
      </w:r>
      <w:r w:rsidRPr="00A35C3E">
        <w:rPr>
          <w:color w:val="auto"/>
        </w:rPr>
        <w:fldChar w:fldCharType="end"/>
      </w:r>
      <w:r w:rsidRPr="00A35C3E">
        <w:rPr>
          <w:color w:val="auto"/>
        </w:rPr>
        <w:t>: Stopnja rasti dohodkov</w:t>
      </w:r>
    </w:p>
    <w:p w:rsidR="00196FD5" w:rsidRDefault="00196FD5" w:rsidP="00196FD5">
      <w:r>
        <w:t>V letu 2019 so se prihodki iz avtomobilskega lizinga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lastRenderedPageBreak/>
        <w:t xml:space="preserve"> </w:t>
      </w:r>
      <w:r>
        <w:rPr>
          <w:noProof/>
          <w:lang w:eastAsia="sl-SI"/>
        </w:rPr>
        <w:drawing>
          <wp:inline distT="0" distB="0" distL="0" distR="0" wp14:anchorId="3D2DDA60" wp14:editId="231F75D6">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A5010F">
        <w:rPr>
          <w:noProof/>
          <w:color w:val="auto"/>
        </w:rPr>
        <w:t>5</w:t>
      </w:r>
      <w:r w:rsidRPr="00BF0363">
        <w:rPr>
          <w:color w:val="auto"/>
        </w:rPr>
        <w:fldChar w:fldCharType="end"/>
      </w:r>
      <w:r w:rsidRPr="00BF0363">
        <w:rPr>
          <w:color w:val="auto"/>
        </w:rPr>
        <w:t>:statista.com</w:t>
      </w:r>
    </w:p>
    <w:p w:rsidR="00196FD5" w:rsidRDefault="00196FD5" w:rsidP="00196FD5">
      <w:r>
        <w:t>Opazimo, da se je delež prihodkov ustvarjen iz strani prodaje avtomobilov sicer zmanjšal (iz 82,2 % na 81,1 %), vendar še vedno ostaja daleč najpomembnejši segment prihodkov podjetja.</w:t>
      </w:r>
    </w:p>
    <w:p w:rsidR="00196FD5" w:rsidRDefault="00196FD5" w:rsidP="00196FD5">
      <w:pPr>
        <w:pStyle w:val="Naslovi2"/>
      </w:pPr>
      <w:bookmarkStart w:id="11" w:name="_Toc38967811"/>
      <w:r>
        <w:t>Napoved stroškov</w:t>
      </w:r>
      <w:bookmarkEnd w:id="11"/>
    </w:p>
    <w:p w:rsidR="00196FD5" w:rsidRDefault="00196FD5" w:rsidP="00196FD5">
      <w:r w:rsidRPr="00196FD5">
        <w:t>Odhodki so se v zadnjih letih močno povečali, v treh letih, od leta 2016 do 2019 so zrasli za več kot 250% in sicer iz 4999 miljonov evrov do 17892 miljonov evrov. Ker so v tem obdobju rastli približno linearno, smo tako napovedali tudi pričakovane odhodke, te naj bi do leta 2022 presegli 30 miljard evrov.</w:t>
      </w:r>
    </w:p>
    <w:p w:rsidR="00EE2DC4" w:rsidRDefault="00EE2DC4" w:rsidP="00EE2DC4">
      <w:pPr>
        <w:pStyle w:val="Naslovi1"/>
        <w:keepNext/>
        <w:numPr>
          <w:ilvl w:val="0"/>
          <w:numId w:val="0"/>
        </w:numPr>
        <w:ind w:left="360" w:hanging="360"/>
      </w:pPr>
      <w:r>
        <w:rPr>
          <w:noProof/>
          <w:lang w:eastAsia="sl-SI"/>
        </w:rPr>
        <w:lastRenderedPageBreak/>
        <w:drawing>
          <wp:inline distT="0" distB="0" distL="0" distR="0" wp14:anchorId="08F847DF" wp14:editId="37E9E12C">
            <wp:extent cx="5010150" cy="2809875"/>
            <wp:effectExtent l="0" t="0" r="0" b="9525"/>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6</w:t>
      </w:r>
      <w:r w:rsidRPr="00EE2DC4">
        <w:rPr>
          <w:color w:val="auto"/>
        </w:rPr>
        <w:fldChar w:fldCharType="end"/>
      </w:r>
      <w:r w:rsidRPr="00EE2DC4">
        <w:rPr>
          <w:color w:val="auto"/>
        </w:rPr>
        <w:t>: Odhodki prikazani v milijonih</w:t>
      </w:r>
    </w:p>
    <w:p w:rsidR="00196FD5" w:rsidRDefault="00196FD5" w:rsidP="00196FD5">
      <w:r>
        <w:t xml:space="preserve">Podobno hitro se povečujejo tudi celotni poslovni odhodki. Med letoma 2016 in 2019 so se namreč povečali iz 7098 miljonov evrov na 21 502 miljonov evrov, podoben linearen trend kot smo ga opazili v tem obdobju lahko pričakujemo tudi v prihodnje, tako bodo celotni poslovni odhodki v letu 2022 presegli 36 milijard evrov. </w:t>
      </w:r>
    </w:p>
    <w:p w:rsidR="00EE2DC4" w:rsidRDefault="00EE2DC4" w:rsidP="00EE2DC4">
      <w:pPr>
        <w:pStyle w:val="Naslovi1"/>
        <w:keepNext/>
        <w:numPr>
          <w:ilvl w:val="0"/>
          <w:numId w:val="0"/>
        </w:numPr>
        <w:ind w:left="360" w:hanging="360"/>
      </w:pPr>
      <w:r>
        <w:rPr>
          <w:noProof/>
          <w:lang w:eastAsia="sl-SI"/>
        </w:rPr>
        <w:drawing>
          <wp:inline distT="0" distB="0" distL="0" distR="0" wp14:anchorId="22702070" wp14:editId="42993F28">
            <wp:extent cx="5581650" cy="2524125"/>
            <wp:effectExtent l="0" t="0" r="0" b="9525"/>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7</w:t>
      </w:r>
      <w:r w:rsidRPr="00EE2DC4">
        <w:rPr>
          <w:color w:val="auto"/>
        </w:rPr>
        <w:fldChar w:fldCharType="end"/>
      </w:r>
      <w:r w:rsidRPr="00EE2DC4">
        <w:rPr>
          <w:color w:val="auto"/>
        </w:rPr>
        <w:t>: Celotni poslovni odhodki prikazani v milijon evrih</w:t>
      </w:r>
    </w:p>
    <w:p w:rsidR="00196FD5" w:rsidRPr="00BF0363" w:rsidRDefault="00196FD5" w:rsidP="00BF0363">
      <w:pPr>
        <w:pStyle w:val="Caption"/>
        <w:jc w:val="center"/>
        <w:rPr>
          <w:color w:val="auto"/>
        </w:rPr>
      </w:pPr>
    </w:p>
    <w:p w:rsidR="00196FD5" w:rsidRDefault="00196FD5" w:rsidP="00196FD5">
      <w:r>
        <w:t>Linearno pa ne ras</w:t>
      </w:r>
      <w:r w:rsidR="00EB4C24">
        <w:t>tejo tudi stroški namenjeni raz</w:t>
      </w:r>
      <w:r>
        <w:t>iskavam in razvoju (</w:t>
      </w:r>
      <w:r>
        <w:rPr>
          <w:rFonts w:ascii="Arial" w:hAnsi="Arial" w:cs="Arial"/>
          <w:color w:val="000000"/>
          <w:sz w:val="18"/>
          <w:szCs w:val="18"/>
        </w:rPr>
        <w:t>Research &amp; Development</w:t>
      </w:r>
      <w:r>
        <w:t>), te kot vidimo so se leta 2017 močno povečali, iz 772 milijonov evrov na 1326 milijonov. Vendar je podjetje  v zadnjih dveh letih te stroške zmanjšalo, tako da so leta 2019 znašali 1171 milijon evrov.</w:t>
      </w:r>
    </w:p>
    <w:p w:rsidR="00EE2DC4" w:rsidRDefault="00EE2DC4" w:rsidP="00EE2DC4">
      <w:pPr>
        <w:pStyle w:val="Naslovi1"/>
        <w:keepNext/>
        <w:numPr>
          <w:ilvl w:val="0"/>
          <w:numId w:val="0"/>
        </w:numPr>
        <w:ind w:left="360" w:hanging="360"/>
      </w:pPr>
      <w:r>
        <w:rPr>
          <w:noProof/>
          <w:lang w:eastAsia="sl-SI"/>
        </w:rPr>
        <w:lastRenderedPageBreak/>
        <w:drawing>
          <wp:inline distT="0" distB="0" distL="0" distR="0" wp14:anchorId="0C18AC8A" wp14:editId="299FD6CB">
            <wp:extent cx="5934075" cy="27527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F0363" w:rsidRPr="00EE2DC4" w:rsidRDefault="00EE2DC4" w:rsidP="00EE2DC4">
      <w:pPr>
        <w:pStyle w:val="Caption"/>
        <w:jc w:val="center"/>
        <w:rPr>
          <w:color w:val="auto"/>
        </w:rPr>
      </w:pPr>
      <w:r w:rsidRPr="00EE2DC4">
        <w:rPr>
          <w:color w:val="auto"/>
        </w:rPr>
        <w:t xml:space="preserve">Slika </w:t>
      </w:r>
      <w:r w:rsidRPr="00EE2DC4">
        <w:rPr>
          <w:color w:val="auto"/>
        </w:rPr>
        <w:fldChar w:fldCharType="begin"/>
      </w:r>
      <w:r w:rsidRPr="00EE2DC4">
        <w:rPr>
          <w:color w:val="auto"/>
        </w:rPr>
        <w:instrText xml:space="preserve"> SEQ Slika \* ARABIC </w:instrText>
      </w:r>
      <w:r w:rsidRPr="00EE2DC4">
        <w:rPr>
          <w:color w:val="auto"/>
        </w:rPr>
        <w:fldChar w:fldCharType="separate"/>
      </w:r>
      <w:r w:rsidR="00A5010F">
        <w:rPr>
          <w:noProof/>
          <w:color w:val="auto"/>
        </w:rPr>
        <w:t>8</w:t>
      </w:r>
      <w:r w:rsidRPr="00EE2DC4">
        <w:rPr>
          <w:color w:val="auto"/>
        </w:rPr>
        <w:fldChar w:fldCharType="end"/>
      </w:r>
      <w:r w:rsidRPr="00EE2DC4">
        <w:rPr>
          <w:color w:val="auto"/>
        </w:rPr>
        <w:t>: Stroški namenjeni raziskavam in razvoju prikazani v milijon evrih</w:t>
      </w:r>
    </w:p>
    <w:p w:rsidR="00196FD5" w:rsidRPr="00BF0363" w:rsidRDefault="00196FD5" w:rsidP="00BF0363">
      <w:pPr>
        <w:pStyle w:val="Caption"/>
        <w:jc w:val="center"/>
        <w:rPr>
          <w:color w:val="auto"/>
        </w:rPr>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bookmarkStart w:id="12" w:name="_Toc38967815"/>
      <w:r>
        <w:t>Napovedi investicij</w:t>
      </w:r>
      <w:bookmarkEnd w:id="12"/>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Research and development). </w:t>
      </w:r>
      <w:r w:rsidR="00DA32D0">
        <w:t>Če pogledamo graf iz prejšnjega razdelka vidimo</w:t>
      </w:r>
      <w:r>
        <w:t>,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r w:rsidR="00DA32D0">
        <w:rPr>
          <w:rFonts w:ascii="Calibri" w:eastAsia="Times New Roman" w:hAnsi="Calibri" w:cs="Times New Roman"/>
          <w:color w:val="000000"/>
          <w:lang w:eastAsia="sl-SI"/>
        </w:rPr>
        <w:t xml:space="preserve"> </w:t>
      </w:r>
    </w:p>
    <w:p w:rsidR="006F73D5" w:rsidRDefault="00DA32D0"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Ko pogledamo Tesline finančne izkaze opazimo, da Tesla pod razdelkom denarni tok iz investicij (angl. Cash flow from investing activities) upošteva tudi </w:t>
      </w:r>
      <w:r w:rsidR="0009181E">
        <w:rPr>
          <w:rFonts w:ascii="Calibri" w:eastAsia="Times New Roman" w:hAnsi="Calibri" w:cs="Times New Roman"/>
          <w:color w:val="000000"/>
          <w:lang w:eastAsia="sl-SI"/>
        </w:rPr>
        <w:t xml:space="preserve">stroške, ki nastanejo pri nakupih sistemov za pridobivanje sončne energije </w:t>
      </w:r>
      <w:r>
        <w:rPr>
          <w:rFonts w:ascii="Calibri" w:eastAsia="Times New Roman" w:hAnsi="Calibri" w:cs="Times New Roman"/>
          <w:color w:val="000000"/>
          <w:lang w:eastAsia="sl-SI"/>
        </w:rPr>
        <w:t>(angl. Payments for the cost of solar energy</w:t>
      </w:r>
      <w:r w:rsidR="0009181E">
        <w:rPr>
          <w:rFonts w:ascii="Calibri" w:eastAsia="Times New Roman" w:hAnsi="Calibri" w:cs="Times New Roman"/>
          <w:color w:val="000000"/>
          <w:lang w:eastAsia="sl-SI"/>
        </w:rPr>
        <w:t xml:space="preserve"> system). Vidimo, da močno izstopa leto 2017, v katerem je Tesla v Ontario (Kalifornija), zgradila </w:t>
      </w:r>
      <w:r w:rsidR="006F73D5">
        <w:rPr>
          <w:rFonts w:ascii="Calibri" w:eastAsia="Times New Roman" w:hAnsi="Calibri" w:cs="Times New Roman"/>
          <w:color w:val="000000"/>
          <w:lang w:eastAsia="sl-SI"/>
        </w:rPr>
        <w:t>zbiralnike energije, ki lahko vzdržujejo 15000 gospodinjstev. Prav tako pa so istega leta podpisali tudi pogodbo z Kauai Island Utility Cooperative, po kateri naj bi na otoku Kauai zgradili 52 baterij za shranjevanje energije in sončno farmo.</w:t>
      </w:r>
    </w:p>
    <w:p w:rsidR="00CF30E0" w:rsidRPr="00A35C3E" w:rsidRDefault="00433C2C" w:rsidP="00433C2C">
      <w:pPr>
        <w:rPr>
          <w:rFonts w:ascii="Calibri" w:eastAsia="Times New Roman" w:hAnsi="Calibri" w:cs="Times New Roman"/>
          <w:color w:val="000000"/>
          <w:lang w:eastAsia="sl-SI"/>
        </w:rPr>
      </w:pPr>
      <w:r>
        <w:rPr>
          <w:noProof/>
          <w:lang w:eastAsia="sl-SI"/>
        </w:rPr>
        <w:lastRenderedPageBreak/>
        <w:drawing>
          <wp:inline distT="0" distB="0" distL="0" distR="0" wp14:anchorId="73FFE71C" wp14:editId="3B52144F">
            <wp:extent cx="5677232" cy="3069203"/>
            <wp:effectExtent l="0" t="0" r="19050" b="1714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F30E0" w:rsidRDefault="00CF30E0" w:rsidP="005F7B72">
      <w:pPr>
        <w:pStyle w:val="Caption"/>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Pri napovedi investicij smo se osredotočili na izkaz denarnih tokov (podatki so javno dostopni na Teslini uradni strani), kjer nas je zanimal razdelek Denarni tok iz investicijskih dejavnosti (angl. Cash flows from investing activities). Kot pa je razvidno na spodnjem grafu, denarni tok investicijskih dejavnosti močno niha,</w:t>
      </w:r>
      <w:r w:rsidR="00234459">
        <w:rPr>
          <w:rFonts w:ascii="Calibri" w:eastAsia="Times New Roman" w:hAnsi="Calibri" w:cs="Times New Roman"/>
          <w:color w:val="000000"/>
          <w:lang w:eastAsia="sl-SI"/>
        </w:rPr>
        <w:t xml:space="preserve"> zato</w:t>
      </w:r>
      <w:r>
        <w:rPr>
          <w:rFonts w:ascii="Calibri" w:eastAsia="Times New Roman" w:hAnsi="Calibri" w:cs="Times New Roman"/>
          <w:color w:val="000000"/>
          <w:lang w:eastAsia="sl-SI"/>
        </w:rPr>
        <w:t xml:space="preserve"> je težko napovedati kako se bo gibal v prihodnosti, zato je napoved lahko tudi precej zgrešena. Zelo zanimiv pa je pogled na leto 2017, kjer je bile vrednos</w:t>
      </w:r>
      <w:r w:rsidR="00234459">
        <w:rPr>
          <w:rFonts w:ascii="Calibri" w:eastAsia="Times New Roman" w:hAnsi="Calibri" w:cs="Times New Roman"/>
          <w:color w:val="000000"/>
          <w:lang w:eastAsia="sl-SI"/>
        </w:rPr>
        <w:t>t denarnega toka enaka 4418967$, saj so sredi leta 2017 začeli prodajati svoj najbolj prodajan Model 3, zato je bilo pred tem vloženo veliko denarja.</w:t>
      </w:r>
    </w:p>
    <w:p w:rsidR="005F7B72" w:rsidRDefault="005F7B72" w:rsidP="005F7B72">
      <w:pPr>
        <w:keepNext/>
      </w:pPr>
      <w:r>
        <w:rPr>
          <w:noProof/>
          <w:lang w:eastAsia="sl-SI"/>
        </w:rPr>
        <w:drawing>
          <wp:inline distT="0" distB="0" distL="0" distR="0" wp14:anchorId="56E1ED32" wp14:editId="3455707B">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F0363"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10</w:t>
      </w:r>
      <w:r w:rsidRPr="005F7B72">
        <w:rPr>
          <w:color w:val="auto"/>
        </w:rPr>
        <w:fldChar w:fldCharType="end"/>
      </w:r>
      <w:r w:rsidRPr="005F7B72">
        <w:rPr>
          <w:color w:val="auto"/>
        </w:rPr>
        <w:t>: Denarni tok iz investicij v milijonih</w:t>
      </w:r>
    </w:p>
    <w:p w:rsidR="00234459"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w:t>
      </w:r>
      <w:r>
        <w:rPr>
          <w:rFonts w:ascii="Calibri" w:eastAsia="Times New Roman" w:hAnsi="Calibri" w:cs="Times New Roman"/>
          <w:color w:val="000000"/>
          <w:lang w:eastAsia="sl-SI"/>
        </w:rPr>
        <w:lastRenderedPageBreak/>
        <w:t>Tesla pričakuje da bo v letu 2020 dobavila več kot 500 000 vozil (tu predvsem mislim Model Y, ki je v prodaji od marca 2020), kar je 36% več kot lani. Številni pa so mnenja, da je lahko prav leto 2020 prelomno leto za Teslo. Številni drugi proizvajalci bi lahko ujeli Teslo na področju izdelave električnih motorjev z močnimi in predvsem vzdržljivimi baterijami, zato so mnenja, da bo premoč Tesle v naslednjih 5 letih upadala. Ne</w:t>
      </w:r>
      <w:r w:rsidR="00E27EE5">
        <w:rPr>
          <w:rFonts w:ascii="Calibri" w:eastAsia="Times New Roman" w:hAnsi="Calibri" w:cs="Times New Roman"/>
          <w:color w:val="000000"/>
          <w:lang w:eastAsia="sl-SI"/>
        </w:rPr>
        <w:t xml:space="preserve"> smemo pa tudi pozabiti vpliva k</w:t>
      </w:r>
      <w:r>
        <w:rPr>
          <w:rFonts w:ascii="Calibri" w:eastAsia="Times New Roman" w:hAnsi="Calibri" w:cs="Times New Roman"/>
          <w:color w:val="000000"/>
          <w:lang w:eastAsia="sl-SI"/>
        </w:rPr>
        <w:t xml:space="preserve">orona virusa, ki je povzročil zaprtje tovarne na Kitajskem. Zato bi na podlagi teh podatkov predvideval, da bo denarni tok </w:t>
      </w:r>
      <w:r w:rsidR="00234459">
        <w:rPr>
          <w:rFonts w:ascii="Calibri" w:eastAsia="Times New Roman" w:hAnsi="Calibri" w:cs="Times New Roman"/>
          <w:color w:val="000000"/>
          <w:lang w:eastAsia="sl-SI"/>
        </w:rPr>
        <w:t>podoben kot leta 2018.</w:t>
      </w:r>
    </w:p>
    <w:p w:rsidR="00196FD5" w:rsidRDefault="00196FD5" w:rsidP="00196FD5">
      <w:r>
        <w:t>Kapitalski izdatki (angl. Capital expenditures) so močno povezani z denarnim tokom inves</w:t>
      </w:r>
      <w:r w:rsidR="00234459">
        <w:t>ticijskih dejavnosti, kar vidimo</w:t>
      </w:r>
      <w:r>
        <w:t xml:space="preserve"> tudi v primerjavi njunih grafov. Visoka sta predvsem stolpca za leto 2017 in 2018. V decembru leta 2018 se je začela gradnja tovarne na Kitajskem, medtem ko so v letu 2017 napo</w:t>
      </w:r>
      <w:r w:rsidR="00E27EE5">
        <w:t>vedali, da bodo vložili 2,5 milij</w:t>
      </w:r>
      <w:r>
        <w:t>arde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mega</w:t>
      </w:r>
      <w:r w:rsidR="00A35C3E">
        <w:t xml:space="preserve"> </w:t>
      </w:r>
      <w:r>
        <w:t>tovarne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w:t>
      </w:r>
      <w:r w:rsidR="00234459">
        <w:t xml:space="preserve"> visoko</w:t>
      </w:r>
      <w:r>
        <w:t xml:space="preserve"> rast kapitalskih izdatkov.</w:t>
      </w:r>
    </w:p>
    <w:p w:rsidR="005F7B72" w:rsidRDefault="005F7B72" w:rsidP="005F7B72">
      <w:pPr>
        <w:keepNext/>
      </w:pPr>
      <w:r>
        <w:rPr>
          <w:noProof/>
          <w:lang w:eastAsia="sl-SI"/>
        </w:rPr>
        <w:drawing>
          <wp:inline distT="0" distB="0" distL="0" distR="0" wp14:anchorId="4CC8E5F1" wp14:editId="522A1E6C">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96FD5"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A5010F">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bookmarkStart w:id="13" w:name="_Toc38967816"/>
      <w:r>
        <w:t>Čisti dobiček</w:t>
      </w:r>
      <w:bookmarkEnd w:id="13"/>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p w:rsidR="00A5010F" w:rsidRDefault="001A2D32" w:rsidP="00A5010F">
      <w:pPr>
        <w:keepNext/>
      </w:pPr>
      <w:r>
        <w:rPr>
          <w:noProof/>
          <w:lang w:eastAsia="sl-SI"/>
        </w:rPr>
        <w:drawing>
          <wp:inline distT="0" distB="0" distL="0" distR="0" wp14:anchorId="34DE0734" wp14:editId="44C713EE">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Pr="00A5010F" w:rsidRDefault="00A5010F" w:rsidP="00A5010F">
      <w:pPr>
        <w:pStyle w:val="Caption"/>
        <w:jc w:val="center"/>
        <w:rPr>
          <w:color w:val="auto"/>
        </w:rPr>
      </w:pPr>
      <w:r w:rsidRPr="00A5010F">
        <w:rPr>
          <w:color w:val="auto"/>
        </w:rPr>
        <w:t xml:space="preserve">Slika </w:t>
      </w:r>
      <w:r w:rsidRPr="00A5010F">
        <w:rPr>
          <w:color w:val="auto"/>
        </w:rPr>
        <w:fldChar w:fldCharType="begin"/>
      </w:r>
      <w:r w:rsidRPr="00A5010F">
        <w:rPr>
          <w:color w:val="auto"/>
        </w:rPr>
        <w:instrText xml:space="preserve"> SEQ Slika \* ARABIC </w:instrText>
      </w:r>
      <w:r w:rsidRPr="00A5010F">
        <w:rPr>
          <w:color w:val="auto"/>
        </w:rPr>
        <w:fldChar w:fldCharType="separate"/>
      </w:r>
      <w:r w:rsidRPr="00A5010F">
        <w:rPr>
          <w:noProof/>
          <w:color w:val="auto"/>
        </w:rPr>
        <w:t>12</w:t>
      </w:r>
      <w:r w:rsidRPr="00A5010F">
        <w:rPr>
          <w:color w:val="auto"/>
        </w:rPr>
        <w:fldChar w:fldCharType="end"/>
      </w:r>
      <w:r w:rsidRPr="00A5010F">
        <w:rPr>
          <w:color w:val="auto"/>
        </w:rPr>
        <w:t>: Čisti dobiček prikazan v milijonih evrih</w:t>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SolarCity, za katero je tesla odštela 2,2 bilijona. Z vidika širše slike, pa je podjetje Tesla Motors že zadnja 4 leta beleži izgubo. </w:t>
      </w:r>
    </w:p>
    <w:p w:rsidR="004F29BC" w:rsidRDefault="001A2D32" w:rsidP="001A2D32">
      <w:pPr>
        <w:tabs>
          <w:tab w:val="left" w:pos="1215"/>
        </w:tabs>
        <w:rPr>
          <w:sz w:val="24"/>
          <w:szCs w:val="24"/>
        </w:rPr>
      </w:pPr>
      <w:r>
        <w:rPr>
          <w:sz w:val="24"/>
          <w:szCs w:val="24"/>
        </w:rPr>
        <w:t>Glede na vse in v kakšnem stanju je trenutno svet, zahvaljujoč COVID-19, se zdi da bo tudi leto 2020 leto velikih izgub za Teslo. Kljub temu da so presegli pričakovanja v smislu prodaje za prvo četrtino l</w:t>
      </w:r>
      <w:r w:rsidR="00E27EE5">
        <w:rPr>
          <w:sz w:val="24"/>
          <w:szCs w:val="24"/>
        </w:rPr>
        <w:t>eta, pa so odhodki tako visoki</w:t>
      </w:r>
      <w:r>
        <w:rPr>
          <w:sz w:val="24"/>
          <w:szCs w:val="24"/>
        </w:rPr>
        <w:t>, da tudi masovni prihodki niso bili dovolj da bi Teslo potegnili iz neto dohodkov.</w:t>
      </w:r>
    </w:p>
    <w:p w:rsidR="004F29BC" w:rsidRDefault="004F29BC">
      <w:pPr>
        <w:rPr>
          <w:sz w:val="24"/>
          <w:szCs w:val="24"/>
        </w:rPr>
      </w:pPr>
      <w:r>
        <w:rPr>
          <w:sz w:val="24"/>
          <w:szCs w:val="24"/>
        </w:rPr>
        <w:br w:type="page"/>
      </w:r>
    </w:p>
    <w:p w:rsidR="00A5010F" w:rsidRDefault="00A5010F" w:rsidP="00A5010F">
      <w:pPr>
        <w:pStyle w:val="Naslovi1"/>
        <w:numPr>
          <w:ilvl w:val="0"/>
          <w:numId w:val="0"/>
        </w:numPr>
      </w:pPr>
    </w:p>
    <w:p w:rsidR="00A5010F" w:rsidRDefault="00A5010F" w:rsidP="00A5010F">
      <w:pPr>
        <w:pStyle w:val="Naslovi1"/>
      </w:pPr>
      <w:r>
        <w:t>metode vrednotenja delnice</w:t>
      </w:r>
    </w:p>
    <w:p w:rsidR="00A5010F" w:rsidRDefault="00A5010F" w:rsidP="00A5010F">
      <w:r>
        <w:t xml:space="preserve">Za vrednotenje delnic so je na razpolago več metod. Sami smo se odločili za metode na podlagi diskontiranih denarnih tokov (DCF). </w:t>
      </w:r>
    </w:p>
    <w:p w:rsidR="00A5010F" w:rsidRDefault="00A5010F" w:rsidP="00A5010F">
      <w:pPr>
        <w:pStyle w:val="Naslovi2"/>
      </w:pPr>
      <w:r>
        <w:t>Vrednotenje na podlagi diskontirane vrednosti neto denarnih tokov (DCF)</w:t>
      </w:r>
    </w:p>
    <w:p w:rsidR="00A5010F" w:rsidRDefault="00A5010F" w:rsidP="00A5010F">
      <w:r>
        <w:t xml:space="preserve">Za izračun vrednosti delnice smo uporabili metodo DCF, pri kateri vrednost celotnega kapitala izračunamo kot vsoto sedanjih vrednosti prihodnjih prostih denarnih tokov, vrednost celotnega kapitala smo potem odšteli obveznosti podjetja, dobljeno število pa smo potem delili z številom vseh delnic na trgu. </w:t>
      </w:r>
    </w:p>
    <w:p w:rsidR="00A5010F" w:rsidRDefault="00A5010F" w:rsidP="00A5010F">
      <w:r>
        <w:t>Najprej si poglejmo, kako smo izračunali vrednost celotnega kapital. Izračunali smo ga po naslednji formuli:</w:t>
      </w:r>
    </w:p>
    <w:p w:rsidR="00A5010F" w:rsidRPr="00EB7E4A" w:rsidRDefault="00A5010F" w:rsidP="00A5010F">
      <w:pPr>
        <w:spacing w:after="360"/>
        <w:ind w:left="-284"/>
        <w:rPr>
          <w:rFonts w:eastAsia="Arial Unicode MS" w:cs="Arial Unicode MS"/>
        </w:rPr>
      </w:pPr>
      <m:oMathPara>
        <m:oMath>
          <m:r>
            <w:rPr>
              <w:rFonts w:ascii="Cambria Math" w:hAnsi="Cambria Math"/>
            </w:rPr>
            <m:t xml:space="preserve">Vrednost celotnega kapitala= </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1</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1</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3</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3</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FCF</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1+g</m:t>
                      </m:r>
                    </m:e>
                  </m:d>
                </m:num>
                <m:den>
                  <m:r>
                    <w:rPr>
                      <w:rFonts w:ascii="Cambria Math" w:hAnsi="Cambria Math"/>
                    </w:rPr>
                    <m:t>WACC-g</m:t>
                  </m:r>
                </m:den>
              </m:f>
            </m:num>
            <m:den>
              <m:sSup>
                <m:sSupPr>
                  <m:ctrlPr>
                    <w:rPr>
                      <w:rFonts w:ascii="Cambria Math" w:hAnsi="Cambria Math"/>
                      <w:i/>
                    </w:rPr>
                  </m:ctrlPr>
                </m:sSupPr>
                <m:e>
                  <m:d>
                    <m:dPr>
                      <m:ctrlPr>
                        <w:rPr>
                          <w:rFonts w:ascii="Cambria Math" w:hAnsi="Cambria Math"/>
                          <w:i/>
                        </w:rPr>
                      </m:ctrlPr>
                    </m:dPr>
                    <m:e>
                      <m:r>
                        <w:rPr>
                          <w:rFonts w:ascii="Cambria Math" w:hAnsi="Cambria Math"/>
                        </w:rPr>
                        <m:t>1+WACC</m:t>
                      </m:r>
                    </m:e>
                  </m:d>
                </m:e>
                <m:sup>
                  <m:r>
                    <w:rPr>
                      <w:rFonts w:ascii="Cambria Math" w:hAnsi="Cambria Math"/>
                    </w:rPr>
                    <m:t>3</m:t>
                  </m:r>
                </m:sup>
              </m:sSup>
            </m:den>
          </m:f>
        </m:oMath>
      </m:oMathPara>
    </w:p>
    <w:p w:rsidR="00A5010F" w:rsidRDefault="00A5010F" w:rsidP="00A5010F">
      <w:r>
        <w:t>Kjer FCF predstavlja predstavlja</w:t>
      </w:r>
      <w:r>
        <w:t xml:space="preserve"> prosti denarni tok. To je denarni tok, ki ga lahko podjetje izplača kot donos investitorjem po plačilu stroškov in investicij. Ker smo imeli podane proste denarne tokove za časovno obdobje od leta 2015 do 2019, smo s pomočjo linearne funkcije v excelu izračunali napovedi za leta 2020 (kar predstavlja FCF1), 2021(FCF2) ter 2022(FCF3).</w:t>
      </w:r>
    </w:p>
    <w:p w:rsidR="00A5010F" w:rsidRDefault="00A5010F" w:rsidP="00A5010F">
      <w:r>
        <w:t>Za stopnjo WACC smo ugotovili, da se za podjetje Tesla giba med 6,4% ter 8,3%, zato smo obravnavali vrednost delnice pri treh različnih stopnjah WACC in sicer 6,4%, 7,5% ter 8,3%.</w:t>
      </w:r>
    </w:p>
    <w:p w:rsidR="00A5010F" w:rsidRDefault="00A5010F" w:rsidP="00A5010F">
      <w:r>
        <w:t>Za pričakovano stopnjo rasti trga (označena z g) pa smo vzeli stopnjo 2%.</w:t>
      </w:r>
    </w:p>
    <w:p w:rsidR="00A5010F" w:rsidRDefault="00A5010F" w:rsidP="00A5010F">
      <w:r>
        <w:t>Tako smo za vrednost celotnega kapitala dobili naslednje rezultate:</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6,4%:  </w:t>
      </w:r>
      <w:r w:rsidRPr="000E4A44">
        <w:rPr>
          <w:rFonts w:ascii="Calibri" w:eastAsia="Times New Roman" w:hAnsi="Calibri" w:cs="Calibri"/>
          <w:color w:val="000000"/>
          <w:lang w:eastAsia="sl-SI"/>
        </w:rPr>
        <w:t>50026321144</w:t>
      </w:r>
      <w:r>
        <w:rPr>
          <w:rFonts w:ascii="Calibri" w:eastAsia="Times New Roman" w:hAnsi="Calibri" w:cs="Calibri"/>
          <w:color w:val="000000"/>
          <w:lang w:eastAsia="sl-SI"/>
        </w:rPr>
        <w:t>$</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7,5%:  </w:t>
      </w:r>
      <w:r w:rsidRPr="000E4A44">
        <w:rPr>
          <w:rFonts w:ascii="Calibri" w:eastAsia="Times New Roman" w:hAnsi="Calibri" w:cs="Calibri"/>
          <w:color w:val="000000"/>
          <w:lang w:eastAsia="sl-SI"/>
        </w:rPr>
        <w:t>39653035734</w:t>
      </w:r>
      <w:r>
        <w:rPr>
          <w:rFonts w:ascii="Calibri" w:eastAsia="Times New Roman" w:hAnsi="Calibri" w:cs="Calibri"/>
          <w:color w:val="000000"/>
          <w:lang w:eastAsia="sl-SI"/>
        </w:rPr>
        <w:t>$</w:t>
      </w:r>
    </w:p>
    <w:p w:rsidR="00A5010F" w:rsidRPr="000E4A44" w:rsidRDefault="00A5010F" w:rsidP="00A5010F">
      <w:pPr>
        <w:pStyle w:val="ListParagraph"/>
        <w:numPr>
          <w:ilvl w:val="0"/>
          <w:numId w:val="4"/>
        </w:numPr>
        <w:rPr>
          <w:rFonts w:ascii="Calibri" w:eastAsia="Times New Roman" w:hAnsi="Calibri" w:cs="Calibri"/>
          <w:color w:val="000000"/>
          <w:lang w:eastAsia="sl-SI"/>
        </w:rPr>
      </w:pPr>
      <w:r>
        <w:t xml:space="preserve">Za stopnjo WACC 8,3%:  </w:t>
      </w:r>
      <w:r w:rsidRPr="000E4A44">
        <w:rPr>
          <w:rFonts w:ascii="Calibri" w:eastAsia="Times New Roman" w:hAnsi="Calibri" w:cs="Calibri"/>
          <w:color w:val="000000"/>
          <w:lang w:eastAsia="sl-SI"/>
        </w:rPr>
        <w:t>34389474058</w:t>
      </w:r>
      <w:r>
        <w:rPr>
          <w:rFonts w:ascii="Calibri" w:eastAsia="Times New Roman" w:hAnsi="Calibri" w:cs="Calibri"/>
          <w:color w:val="000000"/>
          <w:lang w:eastAsia="sl-SI"/>
        </w:rPr>
        <w:t>$</w:t>
      </w:r>
    </w:p>
    <w:p w:rsidR="00A5010F" w:rsidRDefault="00A5010F" w:rsidP="00A5010F">
      <w:pPr>
        <w:spacing w:after="0" w:line="240" w:lineRule="auto"/>
        <w:rPr>
          <w:rFonts w:ascii="Calibri" w:eastAsia="Times New Roman" w:hAnsi="Calibri" w:cs="Calibri"/>
          <w:color w:val="000000"/>
          <w:lang w:eastAsia="sl-SI"/>
        </w:rPr>
      </w:pPr>
    </w:p>
    <w:p w:rsidR="00A5010F" w:rsidRDefault="00A5010F" w:rsidP="00A5010F">
      <w:pPr>
        <w:spacing w:after="0" w:line="240" w:lineRule="auto"/>
      </w:pPr>
      <w:r>
        <w:rPr>
          <w:rFonts w:ascii="Calibri" w:eastAsia="Times New Roman" w:hAnsi="Calibri" w:cs="Calibri"/>
          <w:color w:val="000000"/>
          <w:lang w:eastAsia="sl-SI"/>
        </w:rPr>
        <w:t xml:space="preserve">Obveznosti podjetja pa so leta 2019 znašale </w:t>
      </w:r>
      <w:r w:rsidRPr="000E4A44">
        <w:rPr>
          <w:rFonts w:ascii="Calibri" w:eastAsia="Times New Roman" w:hAnsi="Calibri" w:cs="Calibri"/>
          <w:color w:val="000000"/>
          <w:lang w:eastAsia="sl-SI"/>
        </w:rPr>
        <w:t>10667000000</w:t>
      </w:r>
      <w:r>
        <w:rPr>
          <w:rFonts w:ascii="Calibri" w:eastAsia="Times New Roman" w:hAnsi="Calibri" w:cs="Calibri"/>
          <w:color w:val="000000"/>
          <w:lang w:eastAsia="sl-SI"/>
        </w:rPr>
        <w:t xml:space="preserve">$. Ča od </w:t>
      </w:r>
      <w:r>
        <w:t>vrednosti celotnega kapitala odštejemo obveznosti podjetja dobimo vrednost lastniškega kapitala. Ta je za različne stopnje WACC enaka:</w:t>
      </w:r>
    </w:p>
    <w:p w:rsidR="00A5010F" w:rsidRPr="000E4A44" w:rsidRDefault="00A5010F" w:rsidP="00A5010F">
      <w:pPr>
        <w:pStyle w:val="ListParagraph"/>
        <w:numPr>
          <w:ilvl w:val="0"/>
          <w:numId w:val="5"/>
        </w:numPr>
        <w:rPr>
          <w:rFonts w:ascii="Calibri" w:eastAsia="Times New Roman" w:hAnsi="Calibri" w:cs="Calibri"/>
          <w:color w:val="000000"/>
          <w:lang w:eastAsia="sl-SI"/>
        </w:rPr>
      </w:pPr>
      <w:r>
        <w:t xml:space="preserve">Za stopnjo WACC 6,4%:  </w:t>
      </w:r>
      <w:r w:rsidRPr="000E4A44">
        <w:rPr>
          <w:rFonts w:ascii="Calibri" w:eastAsia="Times New Roman" w:hAnsi="Calibri" w:cs="Calibri"/>
          <w:color w:val="000000"/>
          <w:lang w:eastAsia="sl-SI"/>
        </w:rPr>
        <w:t>39359321144$</w:t>
      </w:r>
    </w:p>
    <w:p w:rsidR="00A5010F" w:rsidRPr="000E4A44" w:rsidRDefault="00A5010F" w:rsidP="00A5010F">
      <w:pPr>
        <w:pStyle w:val="ListParagraph"/>
        <w:numPr>
          <w:ilvl w:val="0"/>
          <w:numId w:val="5"/>
        </w:numPr>
        <w:rPr>
          <w:rFonts w:ascii="Calibri" w:eastAsia="Times New Roman" w:hAnsi="Calibri" w:cs="Calibri"/>
          <w:color w:val="000000"/>
          <w:lang w:eastAsia="sl-SI"/>
        </w:rPr>
      </w:pPr>
      <w:r>
        <w:t xml:space="preserve">Za stopnjo WACC 7,5%:  </w:t>
      </w:r>
      <w:r w:rsidRPr="000E4A44">
        <w:rPr>
          <w:rFonts w:ascii="Calibri" w:eastAsia="Times New Roman" w:hAnsi="Calibri" w:cs="Calibri"/>
          <w:color w:val="000000"/>
          <w:lang w:eastAsia="sl-SI"/>
        </w:rPr>
        <w:t>28986035734$</w:t>
      </w:r>
    </w:p>
    <w:p w:rsidR="00A5010F" w:rsidRDefault="00A5010F" w:rsidP="00A5010F">
      <w:pPr>
        <w:pStyle w:val="ListParagraph"/>
        <w:numPr>
          <w:ilvl w:val="0"/>
          <w:numId w:val="5"/>
        </w:numPr>
        <w:rPr>
          <w:rFonts w:ascii="Calibri" w:eastAsia="Times New Roman" w:hAnsi="Calibri" w:cs="Calibri"/>
          <w:color w:val="000000"/>
          <w:lang w:eastAsia="sl-SI"/>
        </w:rPr>
      </w:pPr>
      <w:r>
        <w:t xml:space="preserve">Za stopnjo WACC 8,3%:  </w:t>
      </w:r>
      <w:r w:rsidRPr="000E4A44">
        <w:rPr>
          <w:rFonts w:ascii="Calibri" w:eastAsia="Times New Roman" w:hAnsi="Calibri" w:cs="Calibri"/>
          <w:color w:val="000000"/>
          <w:lang w:eastAsia="sl-SI"/>
        </w:rPr>
        <w:t>23722474058$</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t xml:space="preserve">Da dobimo vrednosti delnic, moramo sedaj vrednost lastniškega kapitala še deliti z številom vseh delnic. </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lastRenderedPageBreak/>
        <w:t xml:space="preserve">V Aprilu 2020 je imelo podjetje </w:t>
      </w:r>
      <w:r w:rsidRPr="00042135">
        <w:rPr>
          <w:rFonts w:ascii="Calibri" w:eastAsia="Times New Roman" w:hAnsi="Calibri" w:cs="Calibri"/>
          <w:color w:val="000000"/>
          <w:lang w:eastAsia="sl-SI"/>
        </w:rPr>
        <w:t>184390000</w:t>
      </w:r>
      <w:r>
        <w:rPr>
          <w:rFonts w:ascii="Calibri" w:eastAsia="Times New Roman" w:hAnsi="Calibri" w:cs="Calibri"/>
          <w:color w:val="000000"/>
          <w:lang w:eastAsia="sl-SI"/>
        </w:rPr>
        <w:t xml:space="preserve"> delnic. Vrednost delnice je za posamezne stopnje WACC torej znašala:</w:t>
      </w:r>
    </w:p>
    <w:p w:rsidR="00A5010F" w:rsidRPr="000E4A44" w:rsidRDefault="00A5010F" w:rsidP="00A5010F">
      <w:pPr>
        <w:pStyle w:val="ListParagraph"/>
        <w:numPr>
          <w:ilvl w:val="0"/>
          <w:numId w:val="6"/>
        </w:numPr>
        <w:rPr>
          <w:rFonts w:ascii="Calibri" w:eastAsia="Times New Roman" w:hAnsi="Calibri" w:cs="Calibri"/>
          <w:color w:val="000000"/>
          <w:lang w:eastAsia="sl-SI"/>
        </w:rPr>
      </w:pPr>
      <w:r>
        <w:t>Za stopnjo WACC 6,4%:  213,46</w:t>
      </w:r>
      <w:r w:rsidRPr="000E4A44">
        <w:rPr>
          <w:rFonts w:ascii="Calibri" w:eastAsia="Times New Roman" w:hAnsi="Calibri" w:cs="Calibri"/>
          <w:color w:val="000000"/>
          <w:lang w:eastAsia="sl-SI"/>
        </w:rPr>
        <w:t>$</w:t>
      </w:r>
    </w:p>
    <w:p w:rsidR="00A5010F" w:rsidRPr="000E4A44" w:rsidRDefault="00A5010F" w:rsidP="00A5010F">
      <w:pPr>
        <w:pStyle w:val="ListParagraph"/>
        <w:numPr>
          <w:ilvl w:val="0"/>
          <w:numId w:val="6"/>
        </w:numPr>
        <w:rPr>
          <w:rFonts w:ascii="Calibri" w:eastAsia="Times New Roman" w:hAnsi="Calibri" w:cs="Calibri"/>
          <w:color w:val="000000"/>
          <w:lang w:eastAsia="sl-SI"/>
        </w:rPr>
      </w:pPr>
      <w:r>
        <w:t>Za stopnjo WACC 7,5%:  157,20</w:t>
      </w:r>
      <w:r w:rsidRPr="000E4A44">
        <w:rPr>
          <w:rFonts w:ascii="Calibri" w:eastAsia="Times New Roman" w:hAnsi="Calibri" w:cs="Calibri"/>
          <w:color w:val="000000"/>
          <w:lang w:eastAsia="sl-SI"/>
        </w:rPr>
        <w:t>$</w:t>
      </w:r>
    </w:p>
    <w:p w:rsidR="00A5010F" w:rsidRDefault="00A5010F" w:rsidP="00A5010F">
      <w:pPr>
        <w:pStyle w:val="ListParagraph"/>
        <w:numPr>
          <w:ilvl w:val="0"/>
          <w:numId w:val="6"/>
        </w:numPr>
        <w:rPr>
          <w:rFonts w:ascii="Calibri" w:eastAsia="Times New Roman" w:hAnsi="Calibri" w:cs="Calibri"/>
          <w:color w:val="000000"/>
          <w:lang w:eastAsia="sl-SI"/>
        </w:rPr>
      </w:pPr>
      <w:r>
        <w:t>Za stopnjo WACC 8,3%:  128,65</w:t>
      </w:r>
      <w:r w:rsidRPr="000E4A44">
        <w:rPr>
          <w:rFonts w:ascii="Calibri" w:eastAsia="Times New Roman" w:hAnsi="Calibri" w:cs="Calibri"/>
          <w:color w:val="000000"/>
          <w:lang w:eastAsia="sl-SI"/>
        </w:rPr>
        <w:t>$</w:t>
      </w:r>
    </w:p>
    <w:p w:rsidR="00A5010F" w:rsidRDefault="00A5010F" w:rsidP="00A5010F">
      <w:pPr>
        <w:rPr>
          <w:rFonts w:ascii="Calibri" w:eastAsia="Times New Roman" w:hAnsi="Calibri" w:cs="Calibri"/>
          <w:color w:val="000000"/>
          <w:lang w:eastAsia="sl-SI"/>
        </w:rPr>
      </w:pPr>
      <w:r>
        <w:rPr>
          <w:rFonts w:ascii="Calibri" w:eastAsia="Times New Roman" w:hAnsi="Calibri" w:cs="Calibri"/>
          <w:color w:val="000000"/>
          <w:lang w:eastAsia="sl-SI"/>
        </w:rPr>
        <w:t xml:space="preserve">Glede na ocenjeni vrednosti, ki smo jih v izračunih uporabili, lahko vidimo, da je cena delnice družbe Tesla precenjena. </w:t>
      </w:r>
    </w:p>
    <w:p w:rsidR="00A5010F" w:rsidRDefault="00A5010F" w:rsidP="00A5010F">
      <w:pPr>
        <w:pStyle w:val="Naslovi1"/>
        <w:numPr>
          <w:ilvl w:val="0"/>
          <w:numId w:val="0"/>
        </w:numPr>
        <w:ind w:left="360"/>
      </w:pPr>
    </w:p>
    <w:p w:rsidR="00A5010F" w:rsidRPr="00A5010F" w:rsidRDefault="004F29BC" w:rsidP="00A5010F">
      <w:pPr>
        <w:pStyle w:val="Naslovi1"/>
      </w:pPr>
      <w:r w:rsidRPr="00A5010F">
        <w:t>Zaključek</w:t>
      </w:r>
    </w:p>
    <w:p w:rsidR="004F29BC" w:rsidRDefault="004F29BC" w:rsidP="004F29BC">
      <w:r>
        <w:t>Tako prihodki kot odhodki v zadnjih letih enakomerno rastejo in pričakujemo, da se bo ta trend nadaljeval tudi v prihodnjih letih. Podjetje vsa leta posluje z izgubo, ampak v zadnjem četrtletju se je prodaja avtomobilov močno povečala. Tako kot pri večini podjetij, bodo tudi pri Tesli najverjetneje občutili posledice koronavirusa. Z dnem 11.5.2020 je Tesla, kljub prepovedi, znova zagnala proizvodnjo v tovarni v Fremontu. Zato bodo v prihodnje morda primorani plačani visoke kazni.</w:t>
      </w:r>
    </w:p>
    <w:p w:rsidR="006779F2" w:rsidRDefault="006779F2" w:rsidP="004F29BC">
      <w:r>
        <w:t xml:space="preserve">Cena delnice dne 13.5.2020 je bila </w:t>
      </w:r>
      <w:r w:rsidR="004F29BC">
        <w:t xml:space="preserve">767,49 </w:t>
      </w:r>
      <w:r>
        <w:t>dolarjev. Vrednost delnice 19.2.2020 je bila več kot 900 dolarjev, vrednost delnice dne 18.3.2020 pa je bila 361,22 dolarjev. Opazimo lahko velika nihanja v sorazmerno kratkem času. Menimo, da lahko vlagatelji na podlagi teh nihanj ustvarijo dobiček, na daljši rok pa je naložba bolj tvegana. Podjetje namreč vsakoletno ustvarja izgubo, njen CEO Elon Musk pa zna s svojimi »tviti« skoraj v trenutku zmanjšati vrednost delnice za več odstotkov. Prav tako je 1.5.2020 »tvitnil«, da je po njegovem mnenju delnica precenjena</w:t>
      </w:r>
      <w:r w:rsidR="002D7672">
        <w:t>, kar je vplivalo na padec vrednosti delnic za skoraj 12 %, v pol ure po objavi »tvita«.</w:t>
      </w:r>
    </w:p>
    <w:p w:rsidR="004F29BC" w:rsidRDefault="006779F2" w:rsidP="004F29BC">
      <w:r>
        <w:t>Po naših izračunih je delnica precenjena.</w:t>
      </w:r>
      <w:r w:rsidR="009A1B95">
        <w:t xml:space="preserve"> Kljub temu pa moramo poudariti, da je podjetje na več področjih pionir in da ima visok delež na svetovnem trgu na področju električnih avtomobilov, kar je po mnenju mnogih industrija prihodnosti. Vlaganja v podjetje trenutno ne priporočamo, zaradi zgoraj naštetih razlogov pa je nedvomno vredno pozorno spremljati dogajanje v podjetju, ki bo morda v prihodnosti eno najpomembnejših podjetji v svetovnem merilu.</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bookmarkStart w:id="14" w:name="_Toc38967817"/>
      <w:r>
        <w:t>VIRI</w:t>
      </w:r>
      <w:bookmarkEnd w:id="14"/>
    </w:p>
    <w:p w:rsidR="004D33A1" w:rsidRPr="004D33A1" w:rsidRDefault="00C92DF7"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C92DF7" w:rsidP="004D33A1">
      <w:pPr>
        <w:spacing w:after="160" w:line="259" w:lineRule="auto"/>
        <w:rPr>
          <w:rFonts w:ascii="Calibri" w:eastAsia="Calibri" w:hAnsi="Calibri" w:cs="Times New Roman"/>
        </w:rPr>
      </w:pPr>
      <w:hyperlink r:id="rId22"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C92DF7" w:rsidP="004D33A1">
      <w:pPr>
        <w:spacing w:after="160" w:line="259" w:lineRule="auto"/>
        <w:rPr>
          <w:rFonts w:ascii="Calibri" w:eastAsia="Calibri" w:hAnsi="Calibri" w:cs="Times New Roman"/>
        </w:rPr>
      </w:pPr>
      <w:hyperlink r:id="rId23" w:history="1">
        <w:r w:rsidR="004D33A1" w:rsidRPr="004D33A1">
          <w:rPr>
            <w:rStyle w:val="Hyperlink"/>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C92DF7" w:rsidP="004D33A1">
      <w:pPr>
        <w:spacing w:after="160" w:line="259" w:lineRule="auto"/>
        <w:rPr>
          <w:rFonts w:ascii="Calibri" w:eastAsia="Calibri" w:hAnsi="Calibri" w:cs="Times New Roman"/>
        </w:rPr>
      </w:pPr>
      <w:hyperlink r:id="rId24" w:history="1">
        <w:r w:rsidR="004D33A1" w:rsidRPr="004D33A1">
          <w:rPr>
            <w:rStyle w:val="Hyperlink"/>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C92DF7" w:rsidP="004D33A1">
      <w:pPr>
        <w:spacing w:after="160" w:line="259" w:lineRule="auto"/>
        <w:rPr>
          <w:rFonts w:ascii="Calibri" w:eastAsia="Calibri" w:hAnsi="Calibri" w:cs="Times New Roman"/>
        </w:rPr>
      </w:pPr>
      <w:hyperlink r:id="rId25" w:history="1">
        <w:r w:rsidR="004D33A1" w:rsidRPr="004D33A1">
          <w:rPr>
            <w:rStyle w:val="Hyperlink"/>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C92DF7" w:rsidP="00196FD5">
      <w:pPr>
        <w:spacing w:after="160" w:line="259" w:lineRule="auto"/>
        <w:rPr>
          <w:rFonts w:ascii="Calibri" w:eastAsia="Calibri" w:hAnsi="Calibri" w:cs="Times New Roman"/>
        </w:rPr>
      </w:pPr>
      <w:hyperlink r:id="rId26" w:history="1">
        <w:r w:rsidR="00196FD5" w:rsidRPr="00196FD5">
          <w:rPr>
            <w:rStyle w:val="Hyperlink"/>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C92DF7" w:rsidP="00196FD5">
      <w:pPr>
        <w:spacing w:after="160" w:line="259" w:lineRule="auto"/>
        <w:rPr>
          <w:rFonts w:ascii="Calibri" w:eastAsia="Calibri" w:hAnsi="Calibri" w:cs="Times New Roman"/>
        </w:rPr>
      </w:pPr>
      <w:hyperlink r:id="rId27" w:history="1">
        <w:r w:rsidR="00196FD5" w:rsidRPr="00196FD5">
          <w:rPr>
            <w:rStyle w:val="Hyperlink"/>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C92DF7" w:rsidP="00196FD5">
      <w:pPr>
        <w:spacing w:after="160" w:line="259" w:lineRule="auto"/>
        <w:rPr>
          <w:rFonts w:ascii="Calibri" w:eastAsia="Calibri" w:hAnsi="Calibri" w:cs="Times New Roman"/>
        </w:rPr>
      </w:pPr>
      <w:hyperlink r:id="rId28" w:history="1">
        <w:r w:rsidR="00196FD5" w:rsidRPr="00196FD5">
          <w:rPr>
            <w:rStyle w:val="Hyperlink"/>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C92DF7" w:rsidP="00196FD5">
      <w:pPr>
        <w:spacing w:after="160" w:line="259" w:lineRule="auto"/>
        <w:rPr>
          <w:rFonts w:ascii="Calibri" w:eastAsia="Calibri" w:hAnsi="Calibri" w:cs="Times New Roman"/>
        </w:rPr>
      </w:pPr>
      <w:hyperlink r:id="rId29" w:history="1">
        <w:r w:rsidR="00196FD5" w:rsidRPr="00196FD5">
          <w:rPr>
            <w:rStyle w:val="Hyperlink"/>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C92DF7" w:rsidP="00196FD5">
      <w:pPr>
        <w:spacing w:after="160" w:line="259" w:lineRule="auto"/>
        <w:rPr>
          <w:rFonts w:ascii="Calibri" w:eastAsia="Calibri" w:hAnsi="Calibri" w:cs="Times New Roman"/>
          <w:lang w:val="en-US"/>
        </w:rPr>
      </w:pPr>
      <w:hyperlink r:id="rId30" w:history="1">
        <w:r w:rsidR="00196FD5" w:rsidRPr="00196FD5">
          <w:rPr>
            <w:rStyle w:val="Hyperlink"/>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C92DF7" w:rsidP="00196FD5">
      <w:pPr>
        <w:spacing w:after="160" w:line="259" w:lineRule="auto"/>
        <w:rPr>
          <w:rFonts w:ascii="Calibri" w:eastAsia="Calibri" w:hAnsi="Calibri" w:cs="Times New Roman"/>
          <w:lang w:val="en-US"/>
        </w:rPr>
      </w:pPr>
      <w:hyperlink r:id="rId31" w:history="1">
        <w:r w:rsidR="00196FD5" w:rsidRPr="00196FD5">
          <w:rPr>
            <w:rStyle w:val="Hyperlink"/>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C92DF7" w:rsidP="004D33A1">
      <w:pPr>
        <w:spacing w:after="160" w:line="259" w:lineRule="auto"/>
        <w:rPr>
          <w:rFonts w:ascii="Calibri" w:eastAsia="Calibri" w:hAnsi="Calibri" w:cs="Times New Roman"/>
        </w:rPr>
      </w:pPr>
      <w:hyperlink r:id="rId32" w:history="1">
        <w:r w:rsidR="006F73D5" w:rsidRPr="006F73D5">
          <w:rPr>
            <w:color w:val="0000FF"/>
            <w:u w:val="single"/>
          </w:rPr>
          <w:t>https://www.theverge.com/2017/3/8/14854858/tesla-solar-hawaii-kauai-kiuc-powerpack-battery-generator</w:t>
        </w:r>
      </w:hyperlink>
      <w:r w:rsidR="006F73D5">
        <w:t xml:space="preserve"> (28.4.2020)</w:t>
      </w: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rsidSect="00EB4C24">
      <w:footerReference w:type="default" r:id="rId33"/>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DF7" w:rsidRDefault="00C92DF7" w:rsidP="00EB4C24">
      <w:pPr>
        <w:spacing w:after="0" w:line="240" w:lineRule="auto"/>
      </w:pPr>
      <w:r>
        <w:separator/>
      </w:r>
    </w:p>
  </w:endnote>
  <w:endnote w:type="continuationSeparator" w:id="0">
    <w:p w:rsidR="00C92DF7" w:rsidRDefault="00C92DF7" w:rsidP="00EB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4671105"/>
      <w:docPartObj>
        <w:docPartGallery w:val="Page Numbers (Bottom of Page)"/>
        <w:docPartUnique/>
      </w:docPartObj>
    </w:sdtPr>
    <w:sdtEndPr/>
    <w:sdtContent>
      <w:p w:rsidR="00EB4C24" w:rsidRDefault="00EB4C24">
        <w:pPr>
          <w:pStyle w:val="Footer"/>
          <w:jc w:val="right"/>
        </w:pPr>
        <w:r>
          <w:fldChar w:fldCharType="begin"/>
        </w:r>
        <w:r>
          <w:instrText>PAGE   \* MERGEFORMAT</w:instrText>
        </w:r>
        <w:r>
          <w:fldChar w:fldCharType="separate"/>
        </w:r>
        <w:r w:rsidR="00B62B22">
          <w:rPr>
            <w:noProof/>
          </w:rPr>
          <w:t>1</w:t>
        </w:r>
        <w:r>
          <w:fldChar w:fldCharType="end"/>
        </w:r>
      </w:p>
    </w:sdtContent>
  </w:sdt>
  <w:p w:rsidR="00EB4C24" w:rsidRDefault="00EB4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DF7" w:rsidRDefault="00C92DF7" w:rsidP="00EB4C24">
      <w:pPr>
        <w:spacing w:after="0" w:line="240" w:lineRule="auto"/>
      </w:pPr>
      <w:r>
        <w:separator/>
      </w:r>
    </w:p>
  </w:footnote>
  <w:footnote w:type="continuationSeparator" w:id="0">
    <w:p w:rsidR="00C92DF7" w:rsidRDefault="00C92DF7" w:rsidP="00EB4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23B9"/>
    <w:multiLevelType w:val="hybridMultilevel"/>
    <w:tmpl w:val="5E4CF4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269555D3"/>
    <w:multiLevelType w:val="hybridMultilevel"/>
    <w:tmpl w:val="8182CF4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26D314B"/>
    <w:multiLevelType w:val="hybridMultilevel"/>
    <w:tmpl w:val="8182CF4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09181E"/>
    <w:rsid w:val="001152A8"/>
    <w:rsid w:val="00196FD5"/>
    <w:rsid w:val="001A2D32"/>
    <w:rsid w:val="00234459"/>
    <w:rsid w:val="002D7672"/>
    <w:rsid w:val="00433C2C"/>
    <w:rsid w:val="004D33A1"/>
    <w:rsid w:val="004F29BC"/>
    <w:rsid w:val="005F7B72"/>
    <w:rsid w:val="006779F2"/>
    <w:rsid w:val="006F73D5"/>
    <w:rsid w:val="00851447"/>
    <w:rsid w:val="008F19D7"/>
    <w:rsid w:val="009A1B95"/>
    <w:rsid w:val="00A35C3E"/>
    <w:rsid w:val="00A5010F"/>
    <w:rsid w:val="00B62B22"/>
    <w:rsid w:val="00BD08E2"/>
    <w:rsid w:val="00BF0363"/>
    <w:rsid w:val="00C60C12"/>
    <w:rsid w:val="00C92DF7"/>
    <w:rsid w:val="00CF30E0"/>
    <w:rsid w:val="00DA32D0"/>
    <w:rsid w:val="00E27EE5"/>
    <w:rsid w:val="00E47BEA"/>
    <w:rsid w:val="00EB4C24"/>
    <w:rsid w:val="00EE2DC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 w:type="paragraph" w:styleId="Header">
    <w:name w:val="header"/>
    <w:basedOn w:val="Normal"/>
    <w:link w:val="HeaderChar"/>
    <w:uiPriority w:val="99"/>
    <w:unhideWhenUsed/>
    <w:rsid w:val="00EB4C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C24"/>
  </w:style>
  <w:style w:type="paragraph" w:styleId="Footer">
    <w:name w:val="footer"/>
    <w:basedOn w:val="Normal"/>
    <w:link w:val="FooterChar"/>
    <w:uiPriority w:val="99"/>
    <w:unhideWhenUsed/>
    <w:rsid w:val="00EB4C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C24"/>
  </w:style>
  <w:style w:type="character" w:customStyle="1" w:styleId="Heading2Char">
    <w:name w:val="Heading 2 Char"/>
    <w:basedOn w:val="DefaultParagraphFont"/>
    <w:link w:val="Heading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4C24"/>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B4C24"/>
    <w:pPr>
      <w:spacing w:after="100"/>
    </w:pPr>
  </w:style>
  <w:style w:type="paragraph" w:styleId="TOC2">
    <w:name w:val="toc 2"/>
    <w:basedOn w:val="Normal"/>
    <w:next w:val="Normal"/>
    <w:autoRedefine/>
    <w:uiPriority w:val="39"/>
    <w:unhideWhenUsed/>
    <w:rsid w:val="00EB4C24"/>
    <w:pPr>
      <w:spacing w:after="100"/>
      <w:ind w:left="220"/>
    </w:pPr>
  </w:style>
  <w:style w:type="paragraph" w:styleId="TOC3">
    <w:name w:val="toc 3"/>
    <w:basedOn w:val="Normal"/>
    <w:next w:val="Normal"/>
    <w:autoRedefine/>
    <w:uiPriority w:val="39"/>
    <w:unhideWhenUsed/>
    <w:rsid w:val="00EB4C24"/>
    <w:pPr>
      <w:spacing w:after="100"/>
      <w:ind w:left="440"/>
    </w:pPr>
  </w:style>
  <w:style w:type="paragraph" w:styleId="NoSpacing">
    <w:name w:val="No Spacing"/>
    <w:uiPriority w:val="1"/>
    <w:qFormat/>
    <w:rsid w:val="004F29BC"/>
    <w:pPr>
      <w:spacing w:after="0" w:line="240" w:lineRule="auto"/>
    </w:pPr>
  </w:style>
  <w:style w:type="paragraph" w:styleId="ListParagraph">
    <w:name w:val="List Paragraph"/>
    <w:basedOn w:val="Normal"/>
    <w:uiPriority w:val="34"/>
    <w:qFormat/>
    <w:rsid w:val="00A501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B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B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 w:type="paragraph" w:styleId="Header">
    <w:name w:val="header"/>
    <w:basedOn w:val="Normal"/>
    <w:link w:val="HeaderChar"/>
    <w:uiPriority w:val="99"/>
    <w:unhideWhenUsed/>
    <w:rsid w:val="00EB4C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C24"/>
  </w:style>
  <w:style w:type="paragraph" w:styleId="Footer">
    <w:name w:val="footer"/>
    <w:basedOn w:val="Normal"/>
    <w:link w:val="FooterChar"/>
    <w:uiPriority w:val="99"/>
    <w:unhideWhenUsed/>
    <w:rsid w:val="00EB4C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C24"/>
  </w:style>
  <w:style w:type="character" w:customStyle="1" w:styleId="Heading2Char">
    <w:name w:val="Heading 2 Char"/>
    <w:basedOn w:val="DefaultParagraphFont"/>
    <w:link w:val="Heading2"/>
    <w:uiPriority w:val="9"/>
    <w:semiHidden/>
    <w:rsid w:val="00EB4C2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4C24"/>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B4C24"/>
    <w:pPr>
      <w:spacing w:after="100"/>
    </w:pPr>
  </w:style>
  <w:style w:type="paragraph" w:styleId="TOC2">
    <w:name w:val="toc 2"/>
    <w:basedOn w:val="Normal"/>
    <w:next w:val="Normal"/>
    <w:autoRedefine/>
    <w:uiPriority w:val="39"/>
    <w:unhideWhenUsed/>
    <w:rsid w:val="00EB4C24"/>
    <w:pPr>
      <w:spacing w:after="100"/>
      <w:ind w:left="220"/>
    </w:pPr>
  </w:style>
  <w:style w:type="paragraph" w:styleId="TOC3">
    <w:name w:val="toc 3"/>
    <w:basedOn w:val="Normal"/>
    <w:next w:val="Normal"/>
    <w:autoRedefine/>
    <w:uiPriority w:val="39"/>
    <w:unhideWhenUsed/>
    <w:rsid w:val="00EB4C24"/>
    <w:pPr>
      <w:spacing w:after="100"/>
      <w:ind w:left="440"/>
    </w:pPr>
  </w:style>
  <w:style w:type="paragraph" w:styleId="NoSpacing">
    <w:name w:val="No Spacing"/>
    <w:uiPriority w:val="1"/>
    <w:qFormat/>
    <w:rsid w:val="004F29BC"/>
    <w:pPr>
      <w:spacing w:after="0" w:line="240" w:lineRule="auto"/>
    </w:pPr>
  </w:style>
  <w:style w:type="paragraph" w:styleId="ListParagraph">
    <w:name w:val="List Paragraph"/>
    <w:basedOn w:val="Normal"/>
    <w:uiPriority w:val="34"/>
    <w:qFormat/>
    <w:rsid w:val="00A5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hyperlink" Target="https://www.geotab.com/white-paper/electric-vehicle-trends/" TargetMode="External"/><Relationship Id="rId3" Type="http://schemas.openxmlformats.org/officeDocument/2006/relationships/styles" Target="styles.xml"/><Relationship Id="rId21" Type="http://schemas.openxmlformats.org/officeDocument/2006/relationships/hyperlink" Target="https://en.wikipedia.org/wiki/Tesla,_Inc."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hyperlink" Target="https://en.wikipedia.org/wiki/Geely"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6.png"/><Relationship Id="rId29" Type="http://schemas.openxmlformats.org/officeDocument/2006/relationships/hyperlink" Target="https://www.theverge.com/2020/1/3/21047233/tesla-2019-deliveries-q4-record-model-3-sa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l.wikipedia.org/wiki/Toyota" TargetMode="External"/><Relationship Id="rId32" Type="http://schemas.openxmlformats.org/officeDocument/2006/relationships/hyperlink" Target="https://www.theverge.com/2017/3/8/14854858/tesla-solar-hawaii-kauai-kiuc-powerpack-battery-generator" TargetMode="Externa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hyperlink" Target="https://en.wikipedia.org/wiki/Toyota" TargetMode="External"/><Relationship Id="rId28" Type="http://schemas.openxmlformats.org/officeDocument/2006/relationships/hyperlink" Target="https://www.tesla.com/about" TargetMode="Externa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hyperlink" Target="https://www.fool.com/investing/2017/08/23/tesla-incs-capital-expenditures-are-soaring.asp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s://www.tesla.com/" TargetMode="External"/><Relationship Id="rId27" Type="http://schemas.openxmlformats.org/officeDocument/2006/relationships/hyperlink" Target="https://www.statista.com/statistics/314741/revenue-of-tesla-by-segment/" TargetMode="External"/><Relationship Id="rId30" Type="http://schemas.openxmlformats.org/officeDocument/2006/relationships/hyperlink" Target="https://www.fool.com/investing/2020/02/19/where-will-tesla-be-in-5-years.aspx" TargetMode="Externa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5.xml.rels><?xml version="1.0" encoding="UTF-8" standalone="yes"?>
<Relationships xmlns="http://schemas.openxmlformats.org/package/2006/relationships"><Relationship Id="rId1" Type="http://schemas.openxmlformats.org/officeDocument/2006/relationships/oleObject" Target="../embeddings/oleObject4.bin"/></Relationships>
</file>

<file path=word/charts/_rels/chart6.xml.rels><?xml version="1.0" encoding="UTF-8" standalone="yes"?>
<Relationships xmlns="http://schemas.openxmlformats.org/package/2006/relationships"><Relationship Id="rId1"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Sheet1!$B$15</c:f>
              <c:strCache>
                <c:ptCount val="1"/>
                <c:pt idx="0">
                  <c:v>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Sheet1!$C$15:$I$15</c:f>
              <c:numCache>
                <c:formatCode>General</c:formatCode>
                <c:ptCount val="7"/>
                <c:pt idx="0">
                  <c:v>4999.32</c:v>
                </c:pt>
                <c:pt idx="1">
                  <c:v>9182.2099999999991</c:v>
                </c:pt>
                <c:pt idx="2">
                  <c:v>14461.25</c:v>
                </c:pt>
                <c:pt idx="3">
                  <c:v>17892.05</c:v>
                </c:pt>
              </c:numCache>
            </c:numRef>
          </c:val>
          <c:extLst xmlns:c16r2="http://schemas.microsoft.com/office/drawing/2015/06/chart">
            <c:ext xmlns:c16="http://schemas.microsoft.com/office/drawing/2014/chart" uri="{C3380CC4-5D6E-409C-BE32-E72D297353CC}">
              <c16:uniqueId val="{00000000-2CAF-4D0D-8458-52129739BF5D}"/>
            </c:ext>
          </c:extLst>
        </c:ser>
        <c:ser>
          <c:idx val="1"/>
          <c:order val="1"/>
          <c:tx>
            <c:strRef>
              <c:f>Sheet1!$B$16</c:f>
              <c:strCache>
                <c:ptCount val="1"/>
                <c:pt idx="0">
                  <c:v>Pričakovani odhodki</c:v>
                </c:pt>
              </c:strCache>
            </c:strRef>
          </c:tx>
          <c:invertIfNegative val="0"/>
          <c:cat>
            <c:numRef>
              <c:f>Sheet1!$C$14:$I$14</c:f>
              <c:numCache>
                <c:formatCode>General</c:formatCode>
                <c:ptCount val="7"/>
                <c:pt idx="0">
                  <c:v>2016</c:v>
                </c:pt>
                <c:pt idx="1">
                  <c:v>2017</c:v>
                </c:pt>
                <c:pt idx="2">
                  <c:v>2018</c:v>
                </c:pt>
                <c:pt idx="3">
                  <c:v>2019</c:v>
                </c:pt>
                <c:pt idx="4">
                  <c:v>2020</c:v>
                </c:pt>
                <c:pt idx="5">
                  <c:v>2021</c:v>
                </c:pt>
                <c:pt idx="6">
                  <c:v>2022</c:v>
                </c:pt>
              </c:numCache>
            </c:numRef>
          </c:cat>
          <c:val>
            <c:numRef>
              <c:f>Sheet1!$C$16:$I$16</c:f>
              <c:numCache>
                <c:formatCode>General</c:formatCode>
                <c:ptCount val="7"/>
                <c:pt idx="4">
                  <c:v>22623.014999999999</c:v>
                </c:pt>
                <c:pt idx="5">
                  <c:v>27018.738000000001</c:v>
                </c:pt>
                <c:pt idx="6">
                  <c:v>31414.461000000003</c:v>
                </c:pt>
              </c:numCache>
            </c:numRef>
          </c:val>
          <c:extLst xmlns:c16r2="http://schemas.microsoft.com/office/drawing/2015/06/chart">
            <c:ext xmlns:c16="http://schemas.microsoft.com/office/drawing/2014/chart" uri="{C3380CC4-5D6E-409C-BE32-E72D297353CC}">
              <c16:uniqueId val="{00000001-2CAF-4D0D-8458-52129739BF5D}"/>
            </c:ext>
          </c:extLst>
        </c:ser>
        <c:dLbls>
          <c:showLegendKey val="0"/>
          <c:showVal val="0"/>
          <c:showCatName val="0"/>
          <c:showSerName val="0"/>
          <c:showPercent val="0"/>
          <c:showBubbleSize val="0"/>
        </c:dLbls>
        <c:gapWidth val="150"/>
        <c:axId val="283379968"/>
        <c:axId val="283426816"/>
      </c:barChart>
      <c:catAx>
        <c:axId val="283379968"/>
        <c:scaling>
          <c:orientation val="minMax"/>
        </c:scaling>
        <c:delete val="0"/>
        <c:axPos val="b"/>
        <c:numFmt formatCode="General" sourceLinked="1"/>
        <c:majorTickMark val="out"/>
        <c:minorTickMark val="none"/>
        <c:tickLblPos val="nextTo"/>
        <c:crossAx val="283426816"/>
        <c:crosses val="autoZero"/>
        <c:auto val="1"/>
        <c:lblAlgn val="ctr"/>
        <c:lblOffset val="100"/>
        <c:noMultiLvlLbl val="0"/>
      </c:catAx>
      <c:valAx>
        <c:axId val="283426816"/>
        <c:scaling>
          <c:orientation val="minMax"/>
        </c:scaling>
        <c:delete val="0"/>
        <c:axPos val="l"/>
        <c:majorGridlines/>
        <c:numFmt formatCode="General" sourceLinked="1"/>
        <c:majorTickMark val="out"/>
        <c:minorTickMark val="none"/>
        <c:tickLblPos val="nextTo"/>
        <c:crossAx val="2833799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Sheet1!$B$5</c:f>
              <c:strCache>
                <c:ptCount val="1"/>
                <c:pt idx="0">
                  <c:v>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Sheet1!$C$5:$I$5</c:f>
              <c:numCache>
                <c:formatCode>General</c:formatCode>
                <c:ptCount val="7"/>
                <c:pt idx="0">
                  <c:v>7098.11</c:v>
                </c:pt>
                <c:pt idx="1">
                  <c:v>12893.23</c:v>
                </c:pt>
                <c:pt idx="2">
                  <c:v>18139.04</c:v>
                </c:pt>
                <c:pt idx="3">
                  <c:v>21502.04</c:v>
                </c:pt>
              </c:numCache>
            </c:numRef>
          </c:val>
          <c:extLst xmlns:c16r2="http://schemas.microsoft.com/office/drawing/2015/06/chart">
            <c:ext xmlns:c16="http://schemas.microsoft.com/office/drawing/2014/chart" uri="{C3380CC4-5D6E-409C-BE32-E72D297353CC}">
              <c16:uniqueId val="{00000000-9178-422F-B3DA-E651C6156B59}"/>
            </c:ext>
          </c:extLst>
        </c:ser>
        <c:ser>
          <c:idx val="1"/>
          <c:order val="1"/>
          <c:tx>
            <c:strRef>
              <c:f>Sheet1!$B$6</c:f>
              <c:strCache>
                <c:ptCount val="1"/>
                <c:pt idx="0">
                  <c:v>Pričakovani poslovni odhodki skupaj</c:v>
                </c:pt>
              </c:strCache>
            </c:strRef>
          </c:tx>
          <c:invertIfNegative val="0"/>
          <c:cat>
            <c:numRef>
              <c:f>Sheet1!$C$4:$I$4</c:f>
              <c:numCache>
                <c:formatCode>General</c:formatCode>
                <c:ptCount val="7"/>
                <c:pt idx="0">
                  <c:v>2016</c:v>
                </c:pt>
                <c:pt idx="1">
                  <c:v>2017</c:v>
                </c:pt>
                <c:pt idx="2">
                  <c:v>2018</c:v>
                </c:pt>
                <c:pt idx="3">
                  <c:v>2019</c:v>
                </c:pt>
                <c:pt idx="4">
                  <c:v>2020</c:v>
                </c:pt>
                <c:pt idx="5">
                  <c:v>2021</c:v>
                </c:pt>
                <c:pt idx="6">
                  <c:v>2022</c:v>
                </c:pt>
              </c:numCache>
            </c:numRef>
          </c:cat>
          <c:val>
            <c:numRef>
              <c:f>Sheet1!$C$6:$I$6</c:f>
              <c:numCache>
                <c:formatCode>General</c:formatCode>
                <c:ptCount val="7"/>
                <c:pt idx="4">
                  <c:v>27022.505000000005</c:v>
                </c:pt>
                <c:pt idx="5">
                  <c:v>31868.264999999999</c:v>
                </c:pt>
                <c:pt idx="6">
                  <c:v>36714.025000000001</c:v>
                </c:pt>
              </c:numCache>
            </c:numRef>
          </c:val>
          <c:extLst xmlns:c16r2="http://schemas.microsoft.com/office/drawing/2015/06/chart">
            <c:ext xmlns:c16="http://schemas.microsoft.com/office/drawing/2014/chart" uri="{C3380CC4-5D6E-409C-BE32-E72D297353CC}">
              <c16:uniqueId val="{00000001-9178-422F-B3DA-E651C6156B59}"/>
            </c:ext>
          </c:extLst>
        </c:ser>
        <c:dLbls>
          <c:showLegendKey val="0"/>
          <c:showVal val="0"/>
          <c:showCatName val="0"/>
          <c:showSerName val="0"/>
          <c:showPercent val="0"/>
          <c:showBubbleSize val="0"/>
        </c:dLbls>
        <c:gapWidth val="150"/>
        <c:axId val="306628096"/>
        <c:axId val="306629632"/>
      </c:barChart>
      <c:catAx>
        <c:axId val="306628096"/>
        <c:scaling>
          <c:orientation val="minMax"/>
        </c:scaling>
        <c:delete val="0"/>
        <c:axPos val="b"/>
        <c:numFmt formatCode="General" sourceLinked="1"/>
        <c:majorTickMark val="out"/>
        <c:minorTickMark val="none"/>
        <c:tickLblPos val="nextTo"/>
        <c:crossAx val="306629632"/>
        <c:crosses val="autoZero"/>
        <c:auto val="1"/>
        <c:lblAlgn val="ctr"/>
        <c:lblOffset val="100"/>
        <c:noMultiLvlLbl val="0"/>
      </c:catAx>
      <c:valAx>
        <c:axId val="306629632"/>
        <c:scaling>
          <c:orientation val="minMax"/>
        </c:scaling>
        <c:delete val="0"/>
        <c:axPos val="l"/>
        <c:majorGridlines/>
        <c:numFmt formatCode="General" sourceLinked="1"/>
        <c:majorTickMark val="out"/>
        <c:minorTickMark val="none"/>
        <c:tickLblPos val="nextTo"/>
        <c:crossAx val="3066280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Sheet1!$B$24</c:f>
              <c:strCache>
                <c:ptCount val="1"/>
                <c:pt idx="0">
                  <c:v>Raziskave &amp; Razvoj</c:v>
                </c:pt>
              </c:strCache>
            </c:strRef>
          </c:tx>
          <c:invertIfNegative val="0"/>
          <c:cat>
            <c:numRef>
              <c:f>Sheet1!$C$23:$F$23</c:f>
              <c:numCache>
                <c:formatCode>General</c:formatCode>
                <c:ptCount val="4"/>
                <c:pt idx="0">
                  <c:v>2016</c:v>
                </c:pt>
                <c:pt idx="1">
                  <c:v>2017</c:v>
                </c:pt>
                <c:pt idx="2">
                  <c:v>2018</c:v>
                </c:pt>
                <c:pt idx="3">
                  <c:v>2019</c:v>
                </c:pt>
              </c:numCache>
            </c:numRef>
          </c:cat>
          <c:val>
            <c:numRef>
              <c:f>Sheet1!$C$24:$F$24</c:f>
              <c:numCache>
                <c:formatCode>General</c:formatCode>
                <c:ptCount val="4"/>
                <c:pt idx="0">
                  <c:v>772.12</c:v>
                </c:pt>
                <c:pt idx="1">
                  <c:v>1326.88</c:v>
                </c:pt>
                <c:pt idx="2">
                  <c:v>1212.0899999999999</c:v>
                </c:pt>
                <c:pt idx="3">
                  <c:v>1171.6300000000001</c:v>
                </c:pt>
              </c:numCache>
            </c:numRef>
          </c:val>
          <c:extLst xmlns:c16r2="http://schemas.microsoft.com/office/drawing/2015/06/chart">
            <c:ext xmlns:c16="http://schemas.microsoft.com/office/drawing/2014/chart" uri="{C3380CC4-5D6E-409C-BE32-E72D297353CC}">
              <c16:uniqueId val="{00000000-18EE-43A7-87CB-A84A180F97BF}"/>
            </c:ext>
          </c:extLst>
        </c:ser>
        <c:dLbls>
          <c:showLegendKey val="0"/>
          <c:showVal val="0"/>
          <c:showCatName val="0"/>
          <c:showSerName val="0"/>
          <c:showPercent val="0"/>
          <c:showBubbleSize val="0"/>
        </c:dLbls>
        <c:gapWidth val="150"/>
        <c:axId val="283134592"/>
        <c:axId val="283226496"/>
      </c:barChart>
      <c:catAx>
        <c:axId val="283134592"/>
        <c:scaling>
          <c:orientation val="minMax"/>
        </c:scaling>
        <c:delete val="0"/>
        <c:axPos val="b"/>
        <c:numFmt formatCode="General" sourceLinked="1"/>
        <c:majorTickMark val="out"/>
        <c:minorTickMark val="none"/>
        <c:tickLblPos val="nextTo"/>
        <c:crossAx val="283226496"/>
        <c:crosses val="autoZero"/>
        <c:auto val="1"/>
        <c:lblAlgn val="ctr"/>
        <c:lblOffset val="100"/>
        <c:noMultiLvlLbl val="0"/>
      </c:catAx>
      <c:valAx>
        <c:axId val="283226496"/>
        <c:scaling>
          <c:orientation val="minMax"/>
        </c:scaling>
        <c:delete val="0"/>
        <c:axPos val="l"/>
        <c:majorGridlines/>
        <c:numFmt formatCode="General" sourceLinked="1"/>
        <c:majorTickMark val="out"/>
        <c:minorTickMark val="none"/>
        <c:tickLblPos val="nextTo"/>
        <c:crossAx val="2831345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sl-SI"/>
              <a:t>Nakup</a:t>
            </a:r>
            <a:r>
              <a:rPr lang="sl-SI" baseline="0"/>
              <a:t> sistemov za proizvodnjo sončne energije</a:t>
            </a:r>
            <a:endParaRPr lang="en-US"/>
          </a:p>
        </c:rich>
      </c:tx>
      <c:layout>
        <c:manualLayout>
          <c:xMode val="edge"/>
          <c:yMode val="edge"/>
          <c:x val="0.19012489063867019"/>
          <c:y val="3.2407407407407406E-2"/>
        </c:manualLayout>
      </c:layout>
      <c:overlay val="0"/>
    </c:title>
    <c:autoTitleDeleted val="0"/>
    <c:plotArea>
      <c:layout/>
      <c:barChart>
        <c:barDir val="col"/>
        <c:grouping val="stacked"/>
        <c:varyColors val="0"/>
        <c:ser>
          <c:idx val="0"/>
          <c:order val="0"/>
          <c:tx>
            <c:strRef>
              <c:f>'Investicije Tesla stran'!$A$18</c:f>
              <c:strCache>
                <c:ptCount val="1"/>
                <c:pt idx="0">
                  <c:v>Payments for the cost of solar energy</c:v>
                </c:pt>
              </c:strCache>
            </c:strRef>
          </c:tx>
          <c:invertIfNegative val="0"/>
          <c:cat>
            <c:numRef>
              <c:f>'Investicije Tesla stran'!$B$12:$E$12</c:f>
              <c:numCache>
                <c:formatCode>0</c:formatCode>
                <c:ptCount val="4"/>
                <c:pt idx="0">
                  <c:v>2019</c:v>
                </c:pt>
                <c:pt idx="1">
                  <c:v>2018</c:v>
                </c:pt>
                <c:pt idx="2">
                  <c:v>2017</c:v>
                </c:pt>
                <c:pt idx="3">
                  <c:v>2016</c:v>
                </c:pt>
              </c:numCache>
            </c:numRef>
          </c:cat>
          <c:val>
            <c:numRef>
              <c:f>'Investicije Tesla stran'!$B$18:$E$18</c:f>
              <c:numCache>
                <c:formatCode>0</c:formatCode>
                <c:ptCount val="4"/>
                <c:pt idx="0">
                  <c:v>105458000</c:v>
                </c:pt>
                <c:pt idx="1">
                  <c:v>218792000</c:v>
                </c:pt>
                <c:pt idx="2">
                  <c:v>666540000</c:v>
                </c:pt>
                <c:pt idx="3">
                  <c:v>159669000</c:v>
                </c:pt>
              </c:numCache>
            </c:numRef>
          </c:val>
          <c:extLst xmlns:c16r2="http://schemas.microsoft.com/office/drawing/2015/06/chart">
            <c:ext xmlns:c16="http://schemas.microsoft.com/office/drawing/2014/chart" uri="{C3380CC4-5D6E-409C-BE32-E72D297353CC}">
              <c16:uniqueId val="{00000000-CE50-4369-8CE4-F22236246286}"/>
            </c:ext>
          </c:extLst>
        </c:ser>
        <c:dLbls>
          <c:showLegendKey val="0"/>
          <c:showVal val="0"/>
          <c:showCatName val="0"/>
          <c:showSerName val="0"/>
          <c:showPercent val="0"/>
          <c:showBubbleSize val="0"/>
        </c:dLbls>
        <c:gapWidth val="150"/>
        <c:overlap val="100"/>
        <c:axId val="272024320"/>
        <c:axId val="272025856"/>
      </c:barChart>
      <c:catAx>
        <c:axId val="272024320"/>
        <c:scaling>
          <c:orientation val="minMax"/>
        </c:scaling>
        <c:delete val="0"/>
        <c:axPos val="b"/>
        <c:numFmt formatCode="0" sourceLinked="1"/>
        <c:majorTickMark val="out"/>
        <c:minorTickMark val="none"/>
        <c:tickLblPos val="nextTo"/>
        <c:crossAx val="272025856"/>
        <c:crosses val="autoZero"/>
        <c:auto val="1"/>
        <c:lblAlgn val="ctr"/>
        <c:lblOffset val="100"/>
        <c:noMultiLvlLbl val="0"/>
      </c:catAx>
      <c:valAx>
        <c:axId val="272025856"/>
        <c:scaling>
          <c:orientation val="minMax"/>
        </c:scaling>
        <c:delete val="0"/>
        <c:axPos val="l"/>
        <c:majorGridlines/>
        <c:numFmt formatCode="0" sourceLinked="1"/>
        <c:majorTickMark val="out"/>
        <c:minorTickMark val="none"/>
        <c:tickLblPos val="nextTo"/>
        <c:crossAx val="27202432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0"/>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extLst xmlns:c16r2="http://schemas.microsoft.com/office/drawing/2015/06/chart">
            <c:ext xmlns:c16="http://schemas.microsoft.com/office/drawing/2014/chart" uri="{C3380CC4-5D6E-409C-BE32-E72D297353CC}">
              <c16:uniqueId val="{00000000-0AD2-4143-B1FA-7BC3CE5DCCEB}"/>
            </c:ext>
          </c:extLst>
        </c:ser>
        <c:ser>
          <c:idx val="2"/>
          <c:order val="1"/>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extLst xmlns:c16r2="http://schemas.microsoft.com/office/drawing/2015/06/chart">
            <c:ext xmlns:c16="http://schemas.microsoft.com/office/drawing/2014/chart" uri="{C3380CC4-5D6E-409C-BE32-E72D297353CC}">
              <c16:uniqueId val="{00000001-0AD2-4143-B1FA-7BC3CE5DCCEB}"/>
            </c:ext>
          </c:extLst>
        </c:ser>
        <c:dLbls>
          <c:showLegendKey val="0"/>
          <c:showVal val="0"/>
          <c:showCatName val="0"/>
          <c:showSerName val="0"/>
          <c:showPercent val="0"/>
          <c:showBubbleSize val="0"/>
        </c:dLbls>
        <c:gapWidth val="150"/>
        <c:overlap val="100"/>
        <c:axId val="303946752"/>
        <c:axId val="303948544"/>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extLst>
                  <c:ext xmlns:c16="http://schemas.microsoft.com/office/drawing/2014/chart" uri="{C3380CC4-5D6E-409C-BE32-E72D297353CC}">
                    <c16:uniqueId val="{00000002-0AD2-4143-B1FA-7BC3CE5DCCEB}"/>
                  </c:ext>
                </c:extLst>
              </c15:ser>
            </c15:filteredBarSeries>
          </c:ext>
        </c:extLst>
      </c:barChart>
      <c:catAx>
        <c:axId val="30394675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03948544"/>
        <c:crosses val="autoZero"/>
        <c:auto val="1"/>
        <c:lblAlgn val="ctr"/>
        <c:lblOffset val="100"/>
        <c:noMultiLvlLbl val="0"/>
      </c:catAx>
      <c:valAx>
        <c:axId val="303948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03946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0"/>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extLst xmlns:c16r2="http://schemas.microsoft.com/office/drawing/2015/06/chart">
            <c:ext xmlns:c16="http://schemas.microsoft.com/office/drawing/2014/chart" uri="{C3380CC4-5D6E-409C-BE32-E72D297353CC}">
              <c16:uniqueId val="{00000000-00E8-40EB-801A-FB6FE49DBCE5}"/>
            </c:ext>
          </c:extLst>
        </c:ser>
        <c:ser>
          <c:idx val="2"/>
          <c:order val="1"/>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extLst xmlns:c16r2="http://schemas.microsoft.com/office/drawing/2015/06/chart">
            <c:ext xmlns:c16="http://schemas.microsoft.com/office/drawing/2014/chart" uri="{C3380CC4-5D6E-409C-BE32-E72D297353CC}">
              <c16:uniqueId val="{00000001-00E8-40EB-801A-FB6FE49DBCE5}"/>
            </c:ext>
          </c:extLst>
        </c:ser>
        <c:dLbls>
          <c:showLegendKey val="0"/>
          <c:showVal val="0"/>
          <c:showCatName val="0"/>
          <c:showSerName val="0"/>
          <c:showPercent val="0"/>
          <c:showBubbleSize val="0"/>
        </c:dLbls>
        <c:gapWidth val="150"/>
        <c:overlap val="100"/>
        <c:axId val="306227072"/>
        <c:axId val="306228608"/>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extLst>
                  <c:ext xmlns:c16="http://schemas.microsoft.com/office/drawing/2014/chart" uri="{C3380CC4-5D6E-409C-BE32-E72D297353CC}">
                    <c16:uniqueId val="{00000002-00E8-40EB-801A-FB6FE49DBCE5}"/>
                  </c:ext>
                </c:extLst>
              </c15:ser>
            </c15:filteredBarSeries>
          </c:ext>
        </c:extLst>
      </c:barChart>
      <c:catAx>
        <c:axId val="30622707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06228608"/>
        <c:crosses val="autoZero"/>
        <c:auto val="1"/>
        <c:lblAlgn val="ctr"/>
        <c:lblOffset val="100"/>
        <c:noMultiLvlLbl val="0"/>
      </c:catAx>
      <c:valAx>
        <c:axId val="3062286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0622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888F0-52FF-456E-B80D-5F1E0C18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3541</Words>
  <Characters>20187</Characters>
  <Application>Microsoft Office Word</Application>
  <DocSecurity>0</DocSecurity>
  <Lines>168</Lines>
  <Paragraphs>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2</cp:revision>
  <dcterms:created xsi:type="dcterms:W3CDTF">2020-05-15T08:10:00Z</dcterms:created>
  <dcterms:modified xsi:type="dcterms:W3CDTF">2020-05-15T08:10:00Z</dcterms:modified>
</cp:coreProperties>
</file>