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E7" w:rsidRDefault="00736976">
      <w:pPr>
        <w:rPr>
          <w:color w:val="FF0000"/>
          <w:sz w:val="32"/>
          <w:szCs w:val="32"/>
        </w:rPr>
      </w:pPr>
      <w:r w:rsidRPr="00736976">
        <w:rPr>
          <w:color w:val="FF0000"/>
          <w:sz w:val="32"/>
          <w:szCs w:val="32"/>
        </w:rPr>
        <w:t>1.4</w:t>
      </w:r>
      <w:r>
        <w:rPr>
          <w:color w:val="FF0000"/>
          <w:sz w:val="32"/>
          <w:szCs w:val="32"/>
        </w:rPr>
        <w:t xml:space="preserve"> Delnice Tesle:</w:t>
      </w:r>
    </w:p>
    <w:p w:rsidR="00736976" w:rsidRDefault="00736976">
      <w:r>
        <w:rPr>
          <w:color w:val="FF0000"/>
          <w:sz w:val="32"/>
          <w:szCs w:val="32"/>
        </w:rPr>
        <w:tab/>
      </w:r>
      <w:r w:rsidR="00347417">
        <w:t xml:space="preserve">Delnice so oblika </w:t>
      </w:r>
      <w:r>
        <w:t xml:space="preserve"> vrednostnega papirja, ki imetniku predstavlja delež v lastništvu delniške družbe. Osnovni kapital delniške družbe je razdeljen na </w:t>
      </w:r>
      <w:r w:rsidR="00347417">
        <w:t>več enakih delov delnic</w:t>
      </w:r>
      <w:r>
        <w:t xml:space="preserve">. </w:t>
      </w:r>
      <w:r w:rsidR="00347417">
        <w:t>Lastnik delnice pridobi določene pravice so delež dobička</w:t>
      </w:r>
      <w:r>
        <w:t xml:space="preserve"> ali pa </w:t>
      </w:r>
      <w:r w:rsidR="00F626B6">
        <w:t>možnost odloč</w:t>
      </w:r>
      <w:r w:rsidR="00347417">
        <w:t>anja v podjetju</w:t>
      </w:r>
      <w:r>
        <w:t xml:space="preserve"> (korporacijske pravice). </w:t>
      </w:r>
      <w:r w:rsidR="00347417">
        <w:t>Namen delnic je zagotavljanje finančnih resursov za podjetje. So tudi pogost finančni instrument za trgovanje na sekundarnem trgu, najpogosteje borzi</w:t>
      </w:r>
      <w:r>
        <w:t>.</w:t>
      </w:r>
      <w:r w:rsidR="00347417" w:rsidRPr="00347417">
        <w:t xml:space="preserve"> </w:t>
      </w:r>
      <w:r w:rsidR="00347417">
        <w:t>Vrednost delnice je odvisna od pričakovanih dividend in cene delnice po kateri se delnica v prihodnosti proda.</w:t>
      </w:r>
    </w:p>
    <w:p w:rsidR="00736976" w:rsidRPr="00F626B6" w:rsidRDefault="0031671E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>Za delnice Tesle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>, ki kotirajo na borzi NASDAQ</w:t>
      </w:r>
      <w:r w:rsidR="008D2F17">
        <w:rPr>
          <w:rFonts w:eastAsia="Times New Roman" w:cstheme="minorHAnsi"/>
          <w:color w:val="000000" w:themeColor="text1"/>
          <w:lang w:eastAsia="sl-SI"/>
        </w:rPr>
        <w:t xml:space="preserve">  p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 xml:space="preserve">od imenom TSLA, 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 xml:space="preserve"> je bilo ključno leto 2019, saj 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>so jo takrat pričeli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 xml:space="preserve"> podrobneje opazovati. Kljub znakom šibkosti v prvi polovici leta 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 xml:space="preserve">ko so dosegli 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 xml:space="preserve"> najnižje vrednosti 77 $ na delnico, se je na koncu leta vrnila z novo rekordno prodajo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>.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>.</w:t>
      </w:r>
    </w:p>
    <w:p w:rsidR="00347417" w:rsidRPr="00F626B6" w:rsidRDefault="00347417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 xml:space="preserve">Prve delnice je tesla postavila na trg </w:t>
      </w:r>
      <w:r w:rsidR="00F626B6">
        <w:rPr>
          <w:rFonts w:eastAsia="Times New Roman" w:cstheme="minorHAnsi"/>
          <w:color w:val="000000" w:themeColor="text1"/>
          <w:lang w:eastAsia="sl-SI"/>
        </w:rPr>
        <w:t xml:space="preserve"> </w:t>
      </w:r>
      <w:r w:rsidRPr="00F626B6">
        <w:rPr>
          <w:rFonts w:eastAsia="Times New Roman" w:cstheme="minorHAnsi"/>
          <w:color w:val="000000" w:themeColor="text1"/>
          <w:lang w:eastAsia="sl-SI"/>
        </w:rPr>
        <w:t>2.</w:t>
      </w:r>
      <w:r w:rsidR="00F626B6">
        <w:rPr>
          <w:rFonts w:eastAsia="Times New Roman" w:cstheme="minorHAnsi"/>
          <w:color w:val="000000" w:themeColor="text1"/>
          <w:lang w:eastAsia="sl-SI"/>
        </w:rPr>
        <w:t xml:space="preserve"> </w:t>
      </w:r>
      <w:r w:rsidRPr="00F626B6">
        <w:rPr>
          <w:rFonts w:eastAsia="Times New Roman" w:cstheme="minorHAnsi"/>
          <w:color w:val="000000" w:themeColor="text1"/>
          <w:lang w:eastAsia="sl-SI"/>
        </w:rPr>
        <w:t>julija 2010, takrat je bila vrednost ene zgolj 19$.</w:t>
      </w:r>
    </w:p>
    <w:p w:rsidR="00736976" w:rsidRPr="00F626B6" w:rsidRDefault="00736976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 xml:space="preserve">Cilj podjetja </w:t>
      </w:r>
      <w:r w:rsidR="00401B69">
        <w:rPr>
          <w:rFonts w:eastAsia="Times New Roman" w:cstheme="minorHAnsi"/>
          <w:color w:val="000000" w:themeColor="text1"/>
          <w:lang w:eastAsia="sl-SI"/>
        </w:rPr>
        <w:t>, za leto 2019,</w:t>
      </w:r>
      <w:r w:rsidRPr="00F626B6">
        <w:rPr>
          <w:rFonts w:eastAsia="Times New Roman" w:cstheme="minorHAnsi"/>
          <w:color w:val="000000" w:themeColor="text1"/>
          <w:lang w:eastAsia="sl-SI"/>
        </w:rPr>
        <w:t>je</w:t>
      </w:r>
      <w:r w:rsidR="00401B69">
        <w:rPr>
          <w:rFonts w:eastAsia="Times New Roman" w:cstheme="minorHAnsi"/>
          <w:color w:val="000000" w:themeColor="text1"/>
          <w:lang w:eastAsia="sl-SI"/>
        </w:rPr>
        <w:t xml:space="preserve"> bil prodati vsaj 360.000 vozil.  V 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 celotnem letu 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 xml:space="preserve"> pa so jih</w:t>
      </w:r>
      <w:r w:rsidR="00775B61">
        <w:rPr>
          <w:rFonts w:eastAsia="Times New Roman" w:cstheme="minorHAnsi"/>
          <w:color w:val="000000" w:themeColor="text1"/>
          <w:lang w:eastAsia="sl-SI"/>
        </w:rPr>
        <w:t xml:space="preserve"> prodali 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 367.500, kar je </w:t>
      </w:r>
      <w:r w:rsidR="00401B69">
        <w:rPr>
          <w:rFonts w:eastAsia="Times New Roman" w:cstheme="minorHAnsi"/>
          <w:color w:val="000000" w:themeColor="text1"/>
          <w:lang w:eastAsia="sl-SI"/>
        </w:rPr>
        <w:t xml:space="preserve">ravno 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nad ciljem 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>in pomeni tudi, da so prodali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 za 50% </w:t>
      </w:r>
      <w:r w:rsidR="0031671E" w:rsidRPr="00F626B6">
        <w:rPr>
          <w:rFonts w:eastAsia="Times New Roman" w:cstheme="minorHAnsi"/>
          <w:color w:val="000000" w:themeColor="text1"/>
          <w:lang w:eastAsia="sl-SI"/>
        </w:rPr>
        <w:t xml:space="preserve">več </w:t>
      </w:r>
      <w:r w:rsidRPr="00F626B6">
        <w:rPr>
          <w:rFonts w:eastAsia="Times New Roman" w:cstheme="minorHAnsi"/>
          <w:color w:val="000000" w:themeColor="text1"/>
          <w:lang w:eastAsia="sl-SI"/>
        </w:rPr>
        <w:t>vozil, kot leta 2018.</w:t>
      </w:r>
      <w:r w:rsidR="0031671E" w:rsidRPr="00F626B6">
        <w:rPr>
          <w:rFonts w:eastAsia="Times New Roman" w:cstheme="minorHAnsi"/>
          <w:color w:val="000000" w:themeColor="text1"/>
          <w:lang w:eastAsia="sl-SI"/>
        </w:rPr>
        <w:t xml:space="preserve"> Primerjava z letom 2020 bi bila nesmiselna ker </w:t>
      </w:r>
      <w:r w:rsidR="008D2F17">
        <w:rPr>
          <w:rFonts w:eastAsia="Times New Roman" w:cstheme="minorHAnsi"/>
          <w:color w:val="000000" w:themeColor="text1"/>
          <w:lang w:eastAsia="sl-SI"/>
        </w:rPr>
        <w:t>slednje š</w:t>
      </w:r>
      <w:r w:rsidR="0031671E" w:rsidRPr="00F626B6">
        <w:rPr>
          <w:rFonts w:eastAsia="Times New Roman" w:cstheme="minorHAnsi"/>
          <w:color w:val="000000" w:themeColor="text1"/>
          <w:lang w:eastAsia="sl-SI"/>
        </w:rPr>
        <w:t xml:space="preserve">e vedno v teku </w:t>
      </w:r>
    </w:p>
    <w:p w:rsidR="00736976" w:rsidRPr="00F626B6" w:rsidRDefault="00450275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 xml:space="preserve">Ne pozabimo, da se 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>j</w:t>
      </w:r>
      <w:r w:rsidR="008D2F17">
        <w:rPr>
          <w:rFonts w:eastAsia="Times New Roman" w:cstheme="minorHAnsi"/>
          <w:color w:val="000000" w:themeColor="text1"/>
          <w:lang w:eastAsia="sl-SI"/>
        </w:rPr>
        <w:t>e v času, ko pišemo ta članek, leta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 xml:space="preserve"> 2020,</w:t>
      </w:r>
      <w:r w:rsidR="00347417" w:rsidRPr="00F626B6">
        <w:rPr>
          <w:rFonts w:eastAsia="Times New Roman" w:cstheme="minorHAnsi"/>
          <w:color w:val="000000" w:themeColor="text1"/>
          <w:lang w:eastAsia="sl-SI"/>
        </w:rPr>
        <w:t xml:space="preserve"> </w:t>
      </w:r>
      <w:r w:rsidRPr="00F626B6">
        <w:rPr>
          <w:rFonts w:eastAsia="Times New Roman" w:cstheme="minorHAnsi"/>
          <w:color w:val="000000" w:themeColor="text1"/>
          <w:lang w:eastAsia="sl-SI"/>
        </w:rPr>
        <w:t>natančneje 19.</w:t>
      </w:r>
      <w:r w:rsidR="00F626B6">
        <w:rPr>
          <w:rFonts w:eastAsia="Times New Roman" w:cstheme="minorHAnsi"/>
          <w:color w:val="000000" w:themeColor="text1"/>
          <w:lang w:eastAsia="sl-SI"/>
        </w:rPr>
        <w:t xml:space="preserve"> </w:t>
      </w:r>
      <w:r w:rsidRPr="00F626B6">
        <w:rPr>
          <w:rFonts w:eastAsia="Times New Roman" w:cstheme="minorHAnsi"/>
          <w:color w:val="000000" w:themeColor="text1"/>
          <w:lang w:eastAsia="sl-SI"/>
        </w:rPr>
        <w:t>februarja</w:t>
      </w:r>
      <w:r w:rsidR="00347417" w:rsidRPr="00F626B6">
        <w:rPr>
          <w:rFonts w:eastAsia="Times New Roman" w:cstheme="minorHAnsi"/>
          <w:color w:val="000000" w:themeColor="text1"/>
          <w:lang w:eastAsia="sl-SI"/>
        </w:rPr>
        <w:t xml:space="preserve">, 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>cena delnic</w:t>
      </w:r>
      <w:r w:rsidR="00347417" w:rsidRPr="00F626B6">
        <w:rPr>
          <w:rFonts w:eastAsia="Times New Roman" w:cstheme="minorHAnsi"/>
          <w:color w:val="000000" w:themeColor="text1"/>
          <w:lang w:eastAsia="sl-SI"/>
        </w:rPr>
        <w:t>e</w:t>
      </w:r>
      <w:r w:rsidR="00736976" w:rsidRPr="00F626B6">
        <w:rPr>
          <w:rFonts w:eastAsia="Times New Roman" w:cstheme="minorHAnsi"/>
          <w:color w:val="000000" w:themeColor="text1"/>
          <w:lang w:eastAsia="sl-SI"/>
        </w:rPr>
        <w:t xml:space="preserve"> Tesle zvišala za več k</w:t>
      </w:r>
      <w:r w:rsidR="00401B69">
        <w:rPr>
          <w:rFonts w:eastAsia="Times New Roman" w:cstheme="minorHAnsi"/>
          <w:color w:val="000000" w:themeColor="text1"/>
          <w:lang w:eastAsia="sl-SI"/>
        </w:rPr>
        <w:t xml:space="preserve">ot 100%, v primerjavi  z začetkom tekočega leta, </w:t>
      </w:r>
      <w:r w:rsidRPr="00F626B6">
        <w:rPr>
          <w:rFonts w:eastAsia="Times New Roman" w:cstheme="minorHAnsi"/>
          <w:color w:val="000000" w:themeColor="text1"/>
          <w:lang w:eastAsia="sl-SI"/>
        </w:rPr>
        <w:t>in dosegla 917 dolarjev.</w:t>
      </w:r>
    </w:p>
    <w:p w:rsidR="00736976" w:rsidRPr="00F626B6" w:rsidRDefault="008B6259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>V</w:t>
      </w:r>
      <w:r w:rsidR="00450275" w:rsidRPr="00F626B6">
        <w:rPr>
          <w:rFonts w:eastAsia="Times New Roman" w:cstheme="minorHAnsi"/>
          <w:color w:val="000000" w:themeColor="text1"/>
          <w:lang w:eastAsia="sl-SI"/>
        </w:rPr>
        <w:t xml:space="preserve">endar kakor hitro </w:t>
      </w:r>
      <w:r w:rsidRPr="00F626B6">
        <w:rPr>
          <w:rFonts w:eastAsia="Times New Roman" w:cstheme="minorHAnsi"/>
          <w:color w:val="000000" w:themeColor="text1"/>
          <w:lang w:eastAsia="sl-SI"/>
        </w:rPr>
        <w:t>so zrastle so tudi padle, namreč</w:t>
      </w:r>
      <w:r w:rsidR="00450275" w:rsidRPr="00F626B6">
        <w:rPr>
          <w:rFonts w:eastAsia="Times New Roman" w:cstheme="minorHAnsi"/>
          <w:color w:val="000000" w:themeColor="text1"/>
          <w:lang w:eastAsia="sl-SI"/>
        </w:rPr>
        <w:t xml:space="preserve"> zgolj mesec kasneje 18.3</w:t>
      </w:r>
      <w:r w:rsidR="008D2F17">
        <w:rPr>
          <w:rFonts w:eastAsia="Times New Roman" w:cstheme="minorHAnsi"/>
          <w:color w:val="000000" w:themeColor="text1"/>
          <w:lang w:eastAsia="sl-SI"/>
        </w:rPr>
        <w:t>.2020 je bila vrednost ene</w:t>
      </w:r>
      <w:r w:rsidR="00D40C97" w:rsidRPr="00F626B6">
        <w:rPr>
          <w:rFonts w:eastAsia="Times New Roman" w:cstheme="minorHAnsi"/>
          <w:color w:val="000000" w:themeColor="text1"/>
          <w:lang w:eastAsia="sl-SI"/>
        </w:rPr>
        <w:t xml:space="preserve"> le š</w:t>
      </w:r>
      <w:r w:rsidR="008D2F17">
        <w:rPr>
          <w:rFonts w:eastAsia="Times New Roman" w:cstheme="minorHAnsi"/>
          <w:color w:val="000000" w:themeColor="text1"/>
          <w:lang w:eastAsia="sl-SI"/>
        </w:rPr>
        <w:t>e minimalističnih 361 dolarjev.  N</w:t>
      </w:r>
      <w:r w:rsidR="00450275" w:rsidRPr="00F626B6">
        <w:rPr>
          <w:rFonts w:eastAsia="Times New Roman" w:cstheme="minorHAnsi"/>
          <w:color w:val="000000" w:themeColor="text1"/>
          <w:lang w:eastAsia="sl-SI"/>
        </w:rPr>
        <w:t>ajverjetneje je imel</w:t>
      </w:r>
      <w:r w:rsidR="00D40C97" w:rsidRPr="00F626B6">
        <w:rPr>
          <w:rFonts w:eastAsia="Times New Roman" w:cstheme="minorHAnsi"/>
          <w:color w:val="000000" w:themeColor="text1"/>
          <w:lang w:eastAsia="sl-SI"/>
        </w:rPr>
        <w:t xml:space="preserve"> med drugim</w:t>
      </w:r>
      <w:r w:rsidR="00450275" w:rsidRPr="00F626B6">
        <w:rPr>
          <w:rFonts w:eastAsia="Times New Roman" w:cstheme="minorHAnsi"/>
          <w:color w:val="000000" w:themeColor="text1"/>
          <w:lang w:eastAsia="sl-SI"/>
        </w:rPr>
        <w:t xml:space="preserve"> velik vpliv</w:t>
      </w:r>
      <w:r w:rsidR="00D40C97" w:rsidRPr="00F626B6">
        <w:rPr>
          <w:rFonts w:eastAsia="Times New Roman" w:cstheme="minorHAnsi"/>
          <w:color w:val="000000" w:themeColor="text1"/>
          <w:lang w:eastAsia="sl-SI"/>
        </w:rPr>
        <w:t xml:space="preserve"> tudi</w:t>
      </w:r>
      <w:r w:rsidR="00450275" w:rsidRPr="00F626B6">
        <w:rPr>
          <w:rFonts w:eastAsia="Times New Roman" w:cstheme="minorHAnsi"/>
          <w:color w:val="000000" w:themeColor="text1"/>
          <w:lang w:eastAsia="sl-SI"/>
        </w:rPr>
        <w:t xml:space="preserve"> novonastali </w:t>
      </w:r>
      <w:proofErr w:type="spellStart"/>
      <w:r w:rsidR="00450275" w:rsidRPr="00F626B6">
        <w:rPr>
          <w:rFonts w:eastAsia="Times New Roman" w:cstheme="minorHAnsi"/>
          <w:color w:val="000000" w:themeColor="text1"/>
          <w:lang w:eastAsia="sl-SI"/>
        </w:rPr>
        <w:t>koronavirus</w:t>
      </w:r>
      <w:bookmarkStart w:id="0" w:name="_GoBack"/>
      <w:bookmarkEnd w:id="0"/>
      <w:proofErr w:type="spellEnd"/>
      <w:r w:rsidR="00F626B6">
        <w:rPr>
          <w:rFonts w:eastAsia="Times New Roman" w:cstheme="minorHAnsi"/>
          <w:color w:val="000000" w:themeColor="text1"/>
          <w:lang w:eastAsia="sl-SI"/>
        </w:rPr>
        <w:t xml:space="preserve"> </w:t>
      </w:r>
      <w:r w:rsidR="00450275" w:rsidRPr="00F626B6">
        <w:rPr>
          <w:rFonts w:eastAsia="Times New Roman" w:cstheme="minorHAnsi"/>
          <w:color w:val="000000" w:themeColor="text1"/>
          <w:lang w:eastAsia="sl-SI"/>
        </w:rPr>
        <w:t xml:space="preserve">(COVID-19), saj </w:t>
      </w:r>
      <w:r w:rsidR="00F626B6" w:rsidRPr="00F626B6">
        <w:rPr>
          <w:rFonts w:eastAsia="Times New Roman" w:cstheme="minorHAnsi"/>
          <w:color w:val="000000" w:themeColor="text1"/>
          <w:lang w:eastAsia="sl-SI"/>
        </w:rPr>
        <w:t>je prišlo do splošne razprodaje na trgu in posledično so bile vse delnice prizadete.</w:t>
      </w:r>
      <w:r w:rsidR="004640AF" w:rsidRPr="00F626B6">
        <w:rPr>
          <w:rFonts w:eastAsia="Times New Roman" w:cstheme="minorHAnsi"/>
          <w:color w:val="000000" w:themeColor="text1"/>
          <w:lang w:eastAsia="sl-SI"/>
        </w:rPr>
        <w:t xml:space="preserve"> Sedaj pa 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se vrednost </w:t>
      </w:r>
      <w:r w:rsidR="00F626B6" w:rsidRPr="00F626B6">
        <w:rPr>
          <w:rFonts w:eastAsia="Times New Roman" w:cstheme="minorHAnsi"/>
          <w:color w:val="000000" w:themeColor="text1"/>
          <w:lang w:eastAsia="sl-SI"/>
        </w:rPr>
        <w:t>na delnico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 giblje okoli 750$.</w:t>
      </w:r>
    </w:p>
    <w:p w:rsidR="008B6259" w:rsidRPr="00F626B6" w:rsidRDefault="008B6259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>Torej če primerjamo v</w:t>
      </w:r>
      <w:r w:rsidR="008660F5" w:rsidRPr="00F626B6">
        <w:rPr>
          <w:rFonts w:eastAsia="Times New Roman" w:cstheme="minorHAnsi"/>
          <w:color w:val="000000" w:themeColor="text1"/>
          <w:lang w:eastAsia="sl-SI"/>
        </w:rPr>
        <w:t>rednost na začetku s sedanjo</w:t>
      </w:r>
      <w:r w:rsidRPr="00F626B6">
        <w:rPr>
          <w:rFonts w:eastAsia="Times New Roman" w:cstheme="minorHAnsi"/>
          <w:color w:val="000000" w:themeColor="text1"/>
          <w:lang w:eastAsia="sl-SI"/>
        </w:rPr>
        <w:t>(</w:t>
      </w:r>
      <w:r w:rsidR="00590E14" w:rsidRPr="00F626B6">
        <w:rPr>
          <w:rFonts w:eastAsia="Times New Roman" w:cstheme="minorHAnsi"/>
          <w:color w:val="000000" w:themeColor="text1"/>
          <w:lang w:eastAsia="sl-SI"/>
        </w:rPr>
        <w:t>skoraj nemogoč</w:t>
      </w:r>
      <w:r w:rsidR="00D40C97" w:rsidRPr="00F626B6">
        <w:rPr>
          <w:rFonts w:eastAsia="Times New Roman" w:cstheme="minorHAnsi"/>
          <w:color w:val="000000" w:themeColor="text1"/>
          <w:lang w:eastAsia="sl-SI"/>
        </w:rPr>
        <w:t>e je primerjati z sedanjo</w:t>
      </w:r>
      <w:r w:rsidR="00590E14" w:rsidRPr="00F626B6">
        <w:rPr>
          <w:rFonts w:eastAsia="Times New Roman" w:cstheme="minorHAnsi"/>
          <w:color w:val="000000" w:themeColor="text1"/>
          <w:lang w:eastAsia="sl-SI"/>
        </w:rPr>
        <w:t>s</w:t>
      </w:r>
      <w:r w:rsidR="00D40C97" w:rsidRPr="00F626B6">
        <w:rPr>
          <w:rFonts w:eastAsia="Times New Roman" w:cstheme="minorHAnsi"/>
          <w:color w:val="000000" w:themeColor="text1"/>
          <w:lang w:eastAsia="sl-SI"/>
        </w:rPr>
        <w:t xml:space="preserve">tjo ker cene neprestano nihajo, vzemimo recimo </w:t>
      </w:r>
      <w:r w:rsidRPr="00F626B6">
        <w:rPr>
          <w:rFonts w:eastAsia="Times New Roman" w:cstheme="minorHAnsi"/>
          <w:color w:val="000000" w:themeColor="text1"/>
          <w:lang w:eastAsia="sl-SI"/>
        </w:rPr>
        <w:t>17.4.2020), je vrednost</w:t>
      </w:r>
      <w:r w:rsidR="008717D7">
        <w:rPr>
          <w:rFonts w:eastAsia="Times New Roman" w:cstheme="minorHAnsi"/>
          <w:color w:val="000000" w:themeColor="text1"/>
          <w:lang w:eastAsia="sl-SI"/>
        </w:rPr>
        <w:t xml:space="preserve"> ene delnice</w:t>
      </w:r>
      <w:r w:rsidRPr="00F626B6">
        <w:rPr>
          <w:rFonts w:eastAsia="Times New Roman" w:cstheme="minorHAnsi"/>
          <w:color w:val="000000" w:themeColor="text1"/>
          <w:lang w:eastAsia="sl-SI"/>
        </w:rPr>
        <w:t xml:space="preserve"> zrastla za kar 3806 %</w:t>
      </w:r>
      <w:r w:rsidR="00D40C97" w:rsidRPr="00F626B6">
        <w:rPr>
          <w:rFonts w:eastAsia="Times New Roman" w:cstheme="minorHAnsi"/>
          <w:color w:val="000000" w:themeColor="text1"/>
          <w:lang w:eastAsia="sl-SI"/>
        </w:rPr>
        <w:t>.</w:t>
      </w:r>
    </w:p>
    <w:p w:rsidR="00450275" w:rsidRPr="00F626B6" w:rsidRDefault="004640AF" w:rsidP="00736976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lang w:eastAsia="sl-SI"/>
        </w:rPr>
      </w:pPr>
      <w:r w:rsidRPr="00F626B6">
        <w:rPr>
          <w:rFonts w:eastAsia="Times New Roman" w:cstheme="minorHAnsi"/>
          <w:color w:val="000000" w:themeColor="text1"/>
          <w:lang w:eastAsia="sl-SI"/>
        </w:rPr>
        <w:t xml:space="preserve">Po podatkih naj bi bilo vseh delnic tesle kar </w:t>
      </w:r>
      <w:proofErr w:type="spellStart"/>
      <w:r w:rsidRPr="00F626B6">
        <w:rPr>
          <w:rFonts w:eastAsia="Times New Roman" w:cstheme="minorHAnsi"/>
          <w:color w:val="000000" w:themeColor="text1"/>
          <w:lang w:eastAsia="sl-SI"/>
        </w:rPr>
        <w:t>184.39M</w:t>
      </w:r>
      <w:proofErr w:type="spellEnd"/>
      <w:r w:rsidRPr="00F626B6">
        <w:rPr>
          <w:rFonts w:eastAsia="Times New Roman" w:cstheme="minorHAnsi"/>
          <w:color w:val="000000" w:themeColor="text1"/>
          <w:lang w:eastAsia="sl-SI"/>
        </w:rPr>
        <w:t xml:space="preserve"> , od tega</w:t>
      </w:r>
      <w:r w:rsidR="0031671E" w:rsidRPr="00F626B6">
        <w:rPr>
          <w:rFonts w:eastAsia="Times New Roman" w:cstheme="minorHAnsi"/>
          <w:color w:val="000000" w:themeColor="text1"/>
          <w:lang w:eastAsia="sl-SI"/>
        </w:rPr>
        <w:t xml:space="preserve"> ji</w:t>
      </w:r>
      <w:r w:rsidRPr="00F626B6">
        <w:rPr>
          <w:rFonts w:eastAsia="Times New Roman" w:cstheme="minorHAnsi"/>
          <w:color w:val="000000" w:themeColor="text1"/>
          <w:lang w:eastAsia="sl-SI"/>
        </w:rPr>
        <w:t>h je na voljo za trgovanje 143.78M.</w:t>
      </w:r>
    </w:p>
    <w:p w:rsidR="004640AF" w:rsidRPr="00736976" w:rsidRDefault="004640AF" w:rsidP="00736976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42455A"/>
          <w:sz w:val="24"/>
          <w:szCs w:val="24"/>
          <w:lang w:eastAsia="sl-SI"/>
        </w:rPr>
      </w:pPr>
      <w:r w:rsidRPr="00590E14">
        <w:rPr>
          <w:rFonts w:eastAsia="Times New Roman" w:cstheme="minorHAnsi"/>
          <w:b/>
          <w:color w:val="000000" w:themeColor="text1"/>
          <w:sz w:val="24"/>
          <w:szCs w:val="24"/>
          <w:lang w:eastAsia="sl-SI"/>
        </w:rPr>
        <w:t>Graf spodaj prikazuje spreminjanje cene na eno delnico od let</w:t>
      </w:r>
      <w:r w:rsidR="00F626B6">
        <w:rPr>
          <w:rFonts w:eastAsia="Times New Roman" w:cstheme="minorHAnsi"/>
          <w:b/>
          <w:color w:val="000000" w:themeColor="text1"/>
          <w:sz w:val="24"/>
          <w:szCs w:val="24"/>
          <w:lang w:eastAsia="sl-SI"/>
        </w:rPr>
        <w:t>a 2013 do zač</w:t>
      </w:r>
      <w:r w:rsidR="0031671E" w:rsidRPr="00590E14">
        <w:rPr>
          <w:rFonts w:eastAsia="Times New Roman" w:cstheme="minorHAnsi"/>
          <w:b/>
          <w:color w:val="000000" w:themeColor="text1"/>
          <w:sz w:val="24"/>
          <w:szCs w:val="24"/>
          <w:lang w:eastAsia="sl-SI"/>
        </w:rPr>
        <w:t>etka leta 2020(oz. februar),ko so postavili nov mejnik.</w:t>
      </w:r>
      <w:r w:rsidR="00F626B6">
        <w:rPr>
          <w:rFonts w:eastAsia="Times New Roman" w:cstheme="minorHAnsi"/>
          <w:b/>
          <w:color w:val="000000" w:themeColor="text1"/>
          <w:sz w:val="24"/>
          <w:szCs w:val="24"/>
          <w:lang w:eastAsia="sl-SI"/>
        </w:rPr>
        <w:t>(tj. 917$)</w:t>
      </w:r>
      <w:r w:rsidR="00590E14" w:rsidRPr="00590E14">
        <w:rPr>
          <w:rFonts w:cstheme="minorHAnsi"/>
          <w:noProof/>
          <w:color w:val="000000" w:themeColor="text1"/>
          <w:lang w:eastAsia="sl-SI"/>
        </w:rPr>
        <w:t xml:space="preserve"> </w:t>
      </w:r>
      <w:r w:rsidR="00590E14">
        <w:rPr>
          <w:noProof/>
          <w:lang w:eastAsia="sl-SI"/>
        </w:rPr>
        <w:drawing>
          <wp:inline distT="0" distB="0" distL="0" distR="0" wp14:anchorId="23139387" wp14:editId="410F7942">
            <wp:extent cx="4467225" cy="2514600"/>
            <wp:effectExtent l="0" t="0" r="9525" b="0"/>
            <wp:docPr id="4" name="Slika 4" descr="Tesla, the WTF Chart of the Year | Wolf Str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la, the WTF Chart of the Year | Wolf Str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76" w:rsidRDefault="00B417A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3.4 Napoved Čistega dobička:</w:t>
      </w:r>
    </w:p>
    <w:p w:rsidR="00D02054" w:rsidRPr="00B417AD" w:rsidRDefault="00775B61">
      <w:pPr>
        <w:rPr>
          <w:color w:val="000000" w:themeColor="text1"/>
          <w:sz w:val="24"/>
          <w:szCs w:val="24"/>
        </w:rPr>
      </w:pPr>
      <w:r>
        <w:br/>
      </w:r>
      <w:r w:rsidRPr="00775B61">
        <w:rPr>
          <w:rFonts w:cstheme="minorHAnsi"/>
          <w:color w:val="222222"/>
          <w:sz w:val="24"/>
          <w:szCs w:val="24"/>
          <w:shd w:val="clear" w:color="auto" w:fill="F8F9FA"/>
        </w:rPr>
        <w:t>Za podjetje je čisti dobiček preostali znesek zaslužka, potem ko so odšteti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 xml:space="preserve"> vsi stroški</w:t>
      </w:r>
      <w:r w:rsidRPr="00775B61">
        <w:rPr>
          <w:rFonts w:cstheme="minorHAnsi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775B61">
        <w:rPr>
          <w:rFonts w:cstheme="minorHAnsi"/>
          <w:color w:val="222222"/>
          <w:sz w:val="24"/>
          <w:szCs w:val="24"/>
          <w:shd w:val="clear" w:color="auto" w:fill="F8F9FA"/>
        </w:rPr>
        <w:t>od</w:t>
      </w:r>
      <w:proofErr w:type="spellEnd"/>
      <w:r w:rsidRPr="00775B61">
        <w:rPr>
          <w:rFonts w:cstheme="minorHAnsi"/>
          <w:color w:val="222222"/>
          <w:sz w:val="24"/>
          <w:szCs w:val="24"/>
          <w:shd w:val="clear" w:color="auto" w:fill="F8F9FA"/>
        </w:rPr>
        <w:t xml:space="preserve"> prodaje. Skratka, bruto dohodek je podatek o vmesnem dohodku, preden so vključeni vsi stroški, čisti dohodek pa je končni znesek dobička ali izgube po vključitvi vseh stroškov</w:t>
      </w:r>
      <w:r w:rsidR="00B417AD">
        <w:rPr>
          <w:color w:val="000000" w:themeColor="text1"/>
          <w:sz w:val="24"/>
          <w:szCs w:val="24"/>
        </w:rPr>
        <w:t xml:space="preserve">.  </w:t>
      </w:r>
      <w:r w:rsidR="00EC532E">
        <w:rPr>
          <w:color w:val="000000" w:themeColor="text1"/>
          <w:sz w:val="24"/>
          <w:szCs w:val="24"/>
        </w:rPr>
        <w:t xml:space="preserve">Grafa </w:t>
      </w:r>
      <w:r>
        <w:rPr>
          <w:color w:val="000000" w:themeColor="text1"/>
          <w:sz w:val="24"/>
          <w:szCs w:val="24"/>
        </w:rPr>
        <w:t>spodaj sta prikazan v milij</w:t>
      </w:r>
      <w:r w:rsidR="00EC532E">
        <w:rPr>
          <w:color w:val="000000" w:themeColor="text1"/>
          <w:sz w:val="24"/>
          <w:szCs w:val="24"/>
        </w:rPr>
        <w:t>on evrih.</w:t>
      </w:r>
    </w:p>
    <w:p w:rsidR="00D02054" w:rsidRDefault="00D0205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sl-SI"/>
        </w:rPr>
        <w:drawing>
          <wp:inline distT="0" distB="0" distL="0" distR="0">
            <wp:extent cx="5486400" cy="3200400"/>
            <wp:effectExtent l="0" t="0" r="19050" b="19050"/>
            <wp:docPr id="3" name="Grafikon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eastAsia="sl-SI"/>
        </w:rPr>
        <w:drawing>
          <wp:inline distT="0" distB="0" distL="0" distR="0">
            <wp:extent cx="5486400" cy="3200400"/>
            <wp:effectExtent l="0" t="0" r="19050" b="19050"/>
            <wp:docPr id="2" name="Grafiko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02054" w:rsidRPr="00D02054" w:rsidRDefault="00D02054" w:rsidP="00D02054">
      <w:pPr>
        <w:rPr>
          <w:sz w:val="24"/>
          <w:szCs w:val="24"/>
        </w:rPr>
      </w:pPr>
    </w:p>
    <w:p w:rsidR="002641AF" w:rsidRDefault="00D02054" w:rsidP="00D02054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EC532E">
        <w:rPr>
          <w:sz w:val="24"/>
          <w:szCs w:val="24"/>
        </w:rPr>
        <w:t>Tesla je v cel</w:t>
      </w:r>
      <w:r w:rsidR="002641AF">
        <w:rPr>
          <w:sz w:val="24"/>
          <w:szCs w:val="24"/>
        </w:rPr>
        <w:t>otnem letu 2019 izgubila približ</w:t>
      </w:r>
      <w:r w:rsidR="00EC532E">
        <w:rPr>
          <w:sz w:val="24"/>
          <w:szCs w:val="24"/>
        </w:rPr>
        <w:t>no 750 mil</w:t>
      </w:r>
      <w:r w:rsidR="002641AF">
        <w:rPr>
          <w:sz w:val="24"/>
          <w:szCs w:val="24"/>
        </w:rPr>
        <w:t>i</w:t>
      </w:r>
      <w:r w:rsidR="00EC532E">
        <w:rPr>
          <w:sz w:val="24"/>
          <w:szCs w:val="24"/>
        </w:rPr>
        <w:t xml:space="preserve">jonov evrov, v zgolj četrtini leta 2020(štetje se je prenehalo z začetkom aprila) pa naj bi podjetje zabeležilo </w:t>
      </w:r>
      <w:r w:rsidR="002641AF">
        <w:rPr>
          <w:sz w:val="24"/>
          <w:szCs w:val="24"/>
        </w:rPr>
        <w:t>668 milijonov evrov izgub. Zaskrbljujoč</w:t>
      </w:r>
      <w:r w:rsidR="00EC532E">
        <w:rPr>
          <w:sz w:val="24"/>
          <w:szCs w:val="24"/>
        </w:rPr>
        <w:t xml:space="preserve"> je podatek da so v tem času imeli </w:t>
      </w:r>
      <w:r w:rsidR="007F5C6C">
        <w:rPr>
          <w:sz w:val="24"/>
          <w:szCs w:val="24"/>
        </w:rPr>
        <w:t xml:space="preserve">nad pričakovano visoke </w:t>
      </w:r>
      <w:r w:rsidR="00EC532E">
        <w:rPr>
          <w:sz w:val="24"/>
          <w:szCs w:val="24"/>
        </w:rPr>
        <w:t xml:space="preserve">dohodke </w:t>
      </w:r>
      <w:r w:rsidR="007F5C6C">
        <w:rPr>
          <w:sz w:val="24"/>
          <w:szCs w:val="24"/>
        </w:rPr>
        <w:t xml:space="preserve">, ki so znašali </w:t>
      </w:r>
      <w:r w:rsidR="00EC532E">
        <w:rPr>
          <w:sz w:val="24"/>
          <w:szCs w:val="24"/>
        </w:rPr>
        <w:t>4.5 bil</w:t>
      </w:r>
      <w:r w:rsidR="002641AF">
        <w:rPr>
          <w:sz w:val="24"/>
          <w:szCs w:val="24"/>
        </w:rPr>
        <w:t>i</w:t>
      </w:r>
      <w:r w:rsidR="007F5C6C">
        <w:rPr>
          <w:sz w:val="24"/>
          <w:szCs w:val="24"/>
        </w:rPr>
        <w:t xml:space="preserve">jonov evrov.  Kar pomeni, </w:t>
      </w:r>
      <w:r w:rsidR="00EC532E">
        <w:rPr>
          <w:sz w:val="24"/>
          <w:szCs w:val="24"/>
        </w:rPr>
        <w:t>da porabljajo ogromne količine denarja v relativno kratkem času.</w:t>
      </w:r>
      <w:r w:rsidR="002641AF">
        <w:rPr>
          <w:sz w:val="24"/>
          <w:szCs w:val="24"/>
        </w:rPr>
        <w:t xml:space="preserve"> Leta 2017 je tesla zabeležila rekordno izgubo okoli 1.9 bilijonov evrov, velik faktor je nedvomno odigral tudi nakup podjetja </w:t>
      </w:r>
      <w:proofErr w:type="spellStart"/>
      <w:r w:rsidR="002641AF">
        <w:rPr>
          <w:sz w:val="24"/>
          <w:szCs w:val="24"/>
        </w:rPr>
        <w:t>SolarCity</w:t>
      </w:r>
      <w:proofErr w:type="spellEnd"/>
      <w:r w:rsidR="002641AF">
        <w:rPr>
          <w:sz w:val="24"/>
          <w:szCs w:val="24"/>
        </w:rPr>
        <w:t>, za katero je tesla odštela 2,2 bilijona.</w:t>
      </w:r>
      <w:r w:rsidR="00775B61">
        <w:rPr>
          <w:sz w:val="24"/>
          <w:szCs w:val="24"/>
        </w:rPr>
        <w:t xml:space="preserve"> Z vidika širše slike, pa je podjetje Tesla </w:t>
      </w:r>
      <w:proofErr w:type="spellStart"/>
      <w:r w:rsidR="00775B61">
        <w:rPr>
          <w:sz w:val="24"/>
          <w:szCs w:val="24"/>
        </w:rPr>
        <w:t>Motors</w:t>
      </w:r>
      <w:proofErr w:type="spellEnd"/>
      <w:r w:rsidR="00775B61">
        <w:rPr>
          <w:sz w:val="24"/>
          <w:szCs w:val="24"/>
        </w:rPr>
        <w:t xml:space="preserve"> že zadnja 4 leta beleži izgubo. </w:t>
      </w:r>
    </w:p>
    <w:p w:rsidR="002641AF" w:rsidRDefault="002641AF" w:rsidP="00D02054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 xml:space="preserve">Glede na vse in v kakšnem stanju je trenutno svet, zahvaljujoč COVID-19, se zdi da bo tudi leto 2020 leto velikih izgub za Teslo. Kljub temu da so presegli pričakovanja v smislu prodaje za prvo četrtino leta, pa so odhodki tako neznatni, da tudi masovni prihodki niso bili dovolj da bi Teslo potegnili iz </w:t>
      </w:r>
      <w:r w:rsidR="00401B69">
        <w:rPr>
          <w:sz w:val="24"/>
          <w:szCs w:val="24"/>
        </w:rPr>
        <w:t>neto dohodkov</w:t>
      </w:r>
      <w:r>
        <w:rPr>
          <w:sz w:val="24"/>
          <w:szCs w:val="24"/>
        </w:rPr>
        <w:t>.</w:t>
      </w:r>
    </w:p>
    <w:p w:rsidR="00B417AD" w:rsidRPr="00D02054" w:rsidRDefault="002641AF" w:rsidP="00D02054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417AD" w:rsidRPr="00D0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A5A24"/>
    <w:multiLevelType w:val="multilevel"/>
    <w:tmpl w:val="BA6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76"/>
    <w:rsid w:val="002641AF"/>
    <w:rsid w:val="0031671E"/>
    <w:rsid w:val="00347417"/>
    <w:rsid w:val="00401B69"/>
    <w:rsid w:val="00450275"/>
    <w:rsid w:val="004640AF"/>
    <w:rsid w:val="00590E14"/>
    <w:rsid w:val="00736976"/>
    <w:rsid w:val="00775B61"/>
    <w:rsid w:val="007F5C6C"/>
    <w:rsid w:val="008660F5"/>
    <w:rsid w:val="008717D7"/>
    <w:rsid w:val="008B6259"/>
    <w:rsid w:val="008D2F17"/>
    <w:rsid w:val="008F57E7"/>
    <w:rsid w:val="009D5517"/>
    <w:rsid w:val="00A67E51"/>
    <w:rsid w:val="00B417AD"/>
    <w:rsid w:val="00D02054"/>
    <w:rsid w:val="00D40C97"/>
    <w:rsid w:val="00EC532E"/>
    <w:rsid w:val="00F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3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36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3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36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5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ov_delovni_lis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ov_delovni_lis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Čisti dobiček</c:v>
                </c:pt>
              </c:strCache>
            </c:strRef>
          </c:tx>
          <c:marker>
            <c:symbol val="none"/>
          </c:marker>
          <c:cat>
            <c:numRef>
              <c:f>List1!$A$2:$A$5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List1!$B$2:$B$5</c:f>
              <c:numCache>
                <c:formatCode>General</c:formatCode>
                <c:ptCount val="4"/>
                <c:pt idx="0">
                  <c:v>-623.99</c:v>
                </c:pt>
                <c:pt idx="1">
                  <c:v>-1999.25</c:v>
                </c:pt>
                <c:pt idx="2">
                  <c:v>-810.28</c:v>
                </c:pt>
                <c:pt idx="3">
                  <c:v>-752.01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80576"/>
        <c:axId val="41482496"/>
      </c:lineChart>
      <c:catAx>
        <c:axId val="41480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482496"/>
        <c:crosses val="autoZero"/>
        <c:auto val="1"/>
        <c:lblAlgn val="ctr"/>
        <c:lblOffset val="100"/>
        <c:noMultiLvlLbl val="0"/>
      </c:catAx>
      <c:valAx>
        <c:axId val="4148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480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čisti dobiček</c:v>
                </c:pt>
              </c:strCache>
            </c:strRef>
          </c:tx>
          <c:invertIfNegative val="0"/>
          <c:cat>
            <c:numRef>
              <c:f>List1!$A$2:$A$5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List1!$B$2:$B$5</c:f>
              <c:numCache>
                <c:formatCode>General</c:formatCode>
                <c:ptCount val="4"/>
                <c:pt idx="0">
                  <c:v>-623.99</c:v>
                </c:pt>
                <c:pt idx="1">
                  <c:v>-1888.25</c:v>
                </c:pt>
                <c:pt idx="2">
                  <c:v>-810.28</c:v>
                </c:pt>
                <c:pt idx="3">
                  <c:v>-752.01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594880"/>
        <c:axId val="129137664"/>
      </c:barChart>
      <c:catAx>
        <c:axId val="127594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137664"/>
        <c:crosses val="autoZero"/>
        <c:auto val="1"/>
        <c:lblAlgn val="ctr"/>
        <c:lblOffset val="100"/>
        <c:noMultiLvlLbl val="0"/>
      </c:catAx>
      <c:valAx>
        <c:axId val="12913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594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 sistema Windows</dc:creator>
  <cp:lastModifiedBy>Uporabnik sistema Windows</cp:lastModifiedBy>
  <cp:revision>11</cp:revision>
  <dcterms:created xsi:type="dcterms:W3CDTF">2020-04-17T18:09:00Z</dcterms:created>
  <dcterms:modified xsi:type="dcterms:W3CDTF">2020-04-26T21:42:00Z</dcterms:modified>
</cp:coreProperties>
</file>