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8642" w:type="dxa"/>
        <w:tblLook w:val="04A0" w:firstRow="1" w:lastRow="0" w:firstColumn="1" w:lastColumn="0" w:noHBand="0" w:noVBand="1"/>
      </w:tblPr>
      <w:tblGrid>
        <w:gridCol w:w="1114"/>
        <w:gridCol w:w="1053"/>
        <w:gridCol w:w="1354"/>
        <w:gridCol w:w="2540"/>
        <w:gridCol w:w="2581"/>
      </w:tblGrid>
      <w:tr w:rsidR="008F100F" w:rsidRPr="00880E18" w14:paraId="55DEFE35" w14:textId="77777777" w:rsidTr="00A03572">
        <w:trPr>
          <w:trHeight w:val="545"/>
        </w:trPr>
        <w:tc>
          <w:tcPr>
            <w:tcW w:w="8642" w:type="dxa"/>
            <w:gridSpan w:val="5"/>
          </w:tcPr>
          <w:p w14:paraId="70A7CEB0" w14:textId="77777777" w:rsidR="008F100F" w:rsidRPr="00880E18" w:rsidRDefault="008F100F" w:rsidP="00A03572">
            <w:pPr>
              <w:spacing w:line="276" w:lineRule="auto"/>
              <w:jc w:val="center"/>
              <w:rPr>
                <w:rFonts w:ascii="Arial" w:hAnsi="Arial"/>
                <w:b/>
                <w:snapToGrid w:val="0"/>
                <w:sz w:val="18"/>
                <w:szCs w:val="18"/>
              </w:rPr>
            </w:pPr>
            <w:bookmarkStart w:id="0" w:name="_Hlk60148253"/>
            <w:r w:rsidRPr="00880E18">
              <w:rPr>
                <w:rFonts w:ascii="Arial" w:hAnsi="Arial"/>
                <w:b/>
                <w:snapToGrid w:val="0"/>
                <w:sz w:val="18"/>
                <w:szCs w:val="18"/>
              </w:rPr>
              <w:t>FICHA TÉCNICA DE INDICADOR DE GESTIÓN</w:t>
            </w:r>
          </w:p>
          <w:p w14:paraId="70B11E29" w14:textId="77777777" w:rsidR="008F100F" w:rsidRPr="00880E18" w:rsidRDefault="008F100F" w:rsidP="00A03572">
            <w:pPr>
              <w:spacing w:line="276" w:lineRule="auto"/>
              <w:jc w:val="center"/>
              <w:rPr>
                <w:rFonts w:ascii="Arial" w:hAnsi="Arial"/>
                <w:b/>
                <w:snapToGrid w:val="0"/>
                <w:sz w:val="18"/>
                <w:szCs w:val="18"/>
              </w:rPr>
            </w:pPr>
            <w:r w:rsidRPr="00880E18">
              <w:rPr>
                <w:rFonts w:ascii="Arial" w:hAnsi="Arial"/>
                <w:b/>
                <w:snapToGrid w:val="0"/>
                <w:sz w:val="18"/>
                <w:szCs w:val="18"/>
              </w:rPr>
              <w:t>MINISTERIO DE VIVIENDA, CONSTRUCCIÓN Y SANEAMIENTO</w:t>
            </w:r>
          </w:p>
        </w:tc>
      </w:tr>
      <w:tr w:rsidR="008F100F" w:rsidRPr="00880E18" w14:paraId="1A80732F" w14:textId="77777777" w:rsidTr="00A03572">
        <w:trPr>
          <w:trHeight w:val="229"/>
        </w:trPr>
        <w:tc>
          <w:tcPr>
            <w:tcW w:w="8642" w:type="dxa"/>
            <w:gridSpan w:val="5"/>
          </w:tcPr>
          <w:p w14:paraId="66CB2612" w14:textId="77777777" w:rsidR="008F100F" w:rsidRPr="00880E18" w:rsidRDefault="008F100F" w:rsidP="00A03572">
            <w:pPr>
              <w:jc w:val="center"/>
              <w:rPr>
                <w:rFonts w:ascii="Arial" w:hAnsi="Arial" w:cs="Arial"/>
                <w:b/>
                <w:bCs/>
                <w:sz w:val="18"/>
                <w:szCs w:val="18"/>
              </w:rPr>
            </w:pPr>
            <w:r w:rsidRPr="00880E18">
              <w:rPr>
                <w:rFonts w:ascii="Arial" w:hAnsi="Arial" w:cs="Arial"/>
                <w:b/>
                <w:bCs/>
                <w:sz w:val="18"/>
                <w:szCs w:val="18"/>
              </w:rPr>
              <w:t>Nombre del Indicador</w:t>
            </w:r>
          </w:p>
        </w:tc>
      </w:tr>
      <w:tr w:rsidR="008F100F" w:rsidRPr="00880E18" w14:paraId="4FBF09D8" w14:textId="77777777" w:rsidTr="00A03572">
        <w:trPr>
          <w:trHeight w:val="415"/>
        </w:trPr>
        <w:tc>
          <w:tcPr>
            <w:tcW w:w="8642" w:type="dxa"/>
            <w:gridSpan w:val="5"/>
            <w:vAlign w:val="center"/>
          </w:tcPr>
          <w:p w14:paraId="4CCF821A" w14:textId="77777777" w:rsidR="008F100F" w:rsidRPr="00880E18" w:rsidRDefault="008F100F" w:rsidP="00A03572">
            <w:pPr>
              <w:ind w:left="720"/>
              <w:jc w:val="center"/>
              <w:rPr>
                <w:rFonts w:ascii="Arial" w:hAnsi="Arial" w:cs="Arial"/>
                <w:sz w:val="18"/>
                <w:szCs w:val="18"/>
              </w:rPr>
            </w:pPr>
            <w:r w:rsidRPr="00880E18">
              <w:rPr>
                <w:rFonts w:ascii="Arial" w:hAnsi="Arial" w:cs="Arial"/>
                <w:sz w:val="18"/>
                <w:szCs w:val="18"/>
              </w:rPr>
              <w:t xml:space="preserve">Porcentaje de </w:t>
            </w:r>
            <w:r w:rsidRPr="00880E18">
              <w:rPr>
                <w:rFonts w:ascii="Arial" w:hAnsi="Arial" w:cs="Arial"/>
                <w:sz w:val="18"/>
                <w:szCs w:val="18"/>
                <w:u w:val="single"/>
              </w:rPr>
              <w:t>población afectada</w:t>
            </w:r>
            <w:r w:rsidRPr="00880E18">
              <w:rPr>
                <w:rFonts w:ascii="Arial" w:hAnsi="Arial" w:cs="Arial"/>
                <w:sz w:val="18"/>
                <w:szCs w:val="18"/>
              </w:rPr>
              <w:t xml:space="preserve"> por </w:t>
            </w:r>
            <w:r w:rsidRPr="00880E18">
              <w:rPr>
                <w:rFonts w:ascii="Arial" w:hAnsi="Arial" w:cs="Arial"/>
                <w:sz w:val="18"/>
                <w:szCs w:val="18"/>
                <w:u w:val="single"/>
              </w:rPr>
              <w:t>obras paralizadas</w:t>
            </w:r>
            <w:r w:rsidRPr="00880E18">
              <w:rPr>
                <w:rFonts w:ascii="Arial" w:hAnsi="Arial" w:cs="Arial"/>
                <w:sz w:val="18"/>
                <w:szCs w:val="18"/>
              </w:rPr>
              <w:t xml:space="preserve"> de agua y saneamiento</w:t>
            </w:r>
          </w:p>
        </w:tc>
      </w:tr>
      <w:tr w:rsidR="008F100F" w:rsidRPr="00880E18" w14:paraId="167432FE" w14:textId="77777777" w:rsidTr="00A03572">
        <w:trPr>
          <w:trHeight w:val="258"/>
        </w:trPr>
        <w:tc>
          <w:tcPr>
            <w:tcW w:w="1114" w:type="dxa"/>
            <w:vAlign w:val="center"/>
          </w:tcPr>
          <w:p w14:paraId="6EE97A9C" w14:textId="77777777" w:rsidR="008F100F" w:rsidRPr="00880E18" w:rsidRDefault="008F100F" w:rsidP="00A03572">
            <w:pPr>
              <w:jc w:val="center"/>
              <w:rPr>
                <w:rFonts w:ascii="Arial" w:hAnsi="Arial" w:cs="Arial"/>
                <w:sz w:val="18"/>
                <w:szCs w:val="18"/>
              </w:rPr>
            </w:pPr>
            <w:r w:rsidRPr="00880E18">
              <w:rPr>
                <w:rFonts w:ascii="Arial" w:hAnsi="Arial" w:cs="Arial"/>
                <w:b/>
                <w:bCs/>
                <w:sz w:val="18"/>
                <w:szCs w:val="18"/>
              </w:rPr>
              <w:t>Unidad de Medida</w:t>
            </w:r>
          </w:p>
        </w:tc>
        <w:tc>
          <w:tcPr>
            <w:tcW w:w="1053" w:type="dxa"/>
            <w:vAlign w:val="center"/>
          </w:tcPr>
          <w:p w14:paraId="0E119608" w14:textId="77777777" w:rsidR="008F100F" w:rsidRPr="00880E18" w:rsidRDefault="008F100F" w:rsidP="00A03572">
            <w:pPr>
              <w:jc w:val="center"/>
              <w:rPr>
                <w:rFonts w:ascii="Arial" w:hAnsi="Arial" w:cs="Arial"/>
                <w:b/>
                <w:sz w:val="18"/>
                <w:szCs w:val="18"/>
              </w:rPr>
            </w:pPr>
            <w:r w:rsidRPr="00880E18">
              <w:rPr>
                <w:rFonts w:ascii="Arial" w:hAnsi="Arial" w:cs="Arial"/>
                <w:b/>
                <w:sz w:val="18"/>
                <w:szCs w:val="18"/>
              </w:rPr>
              <w:t>Ámbito</w:t>
            </w:r>
          </w:p>
        </w:tc>
        <w:tc>
          <w:tcPr>
            <w:tcW w:w="1354" w:type="dxa"/>
            <w:vAlign w:val="center"/>
          </w:tcPr>
          <w:p w14:paraId="53B55EFC" w14:textId="77777777" w:rsidR="008F100F" w:rsidRPr="00880E18" w:rsidRDefault="008F100F" w:rsidP="00A03572">
            <w:pPr>
              <w:jc w:val="center"/>
              <w:rPr>
                <w:rFonts w:ascii="Arial" w:hAnsi="Arial" w:cs="Arial"/>
                <w:sz w:val="18"/>
                <w:szCs w:val="18"/>
              </w:rPr>
            </w:pPr>
            <w:r w:rsidRPr="00880E18">
              <w:rPr>
                <w:rFonts w:ascii="Arial" w:hAnsi="Arial" w:cs="Arial"/>
                <w:b/>
                <w:sz w:val="18"/>
                <w:szCs w:val="18"/>
              </w:rPr>
              <w:t>Frecuencia</w:t>
            </w:r>
          </w:p>
        </w:tc>
        <w:tc>
          <w:tcPr>
            <w:tcW w:w="2540" w:type="dxa"/>
            <w:vAlign w:val="center"/>
          </w:tcPr>
          <w:p w14:paraId="7009DE95" w14:textId="77777777" w:rsidR="008F100F" w:rsidRPr="00880E18" w:rsidRDefault="008F100F" w:rsidP="00A03572">
            <w:pPr>
              <w:jc w:val="center"/>
              <w:rPr>
                <w:rFonts w:ascii="Arial" w:hAnsi="Arial" w:cs="Arial"/>
                <w:sz w:val="18"/>
                <w:szCs w:val="18"/>
              </w:rPr>
            </w:pPr>
            <w:r w:rsidRPr="00880E18">
              <w:rPr>
                <w:rFonts w:ascii="Arial" w:hAnsi="Arial" w:cs="Arial"/>
                <w:b/>
                <w:sz w:val="18"/>
                <w:szCs w:val="18"/>
              </w:rPr>
              <w:t xml:space="preserve">Responsable de </w:t>
            </w:r>
            <w:proofErr w:type="gramStart"/>
            <w:r w:rsidRPr="00880E18">
              <w:rPr>
                <w:rFonts w:ascii="Arial" w:hAnsi="Arial" w:cs="Arial"/>
                <w:b/>
                <w:sz w:val="18"/>
                <w:szCs w:val="18"/>
              </w:rPr>
              <w:t>la  información</w:t>
            </w:r>
            <w:proofErr w:type="gramEnd"/>
            <w:r w:rsidRPr="00880E18">
              <w:rPr>
                <w:rFonts w:ascii="Arial" w:hAnsi="Arial" w:cs="Arial"/>
                <w:b/>
                <w:sz w:val="18"/>
                <w:szCs w:val="18"/>
              </w:rPr>
              <w:t xml:space="preserve"> </w:t>
            </w:r>
          </w:p>
        </w:tc>
        <w:tc>
          <w:tcPr>
            <w:tcW w:w="2581" w:type="dxa"/>
            <w:vAlign w:val="center"/>
          </w:tcPr>
          <w:p w14:paraId="45ACEFB1" w14:textId="77777777" w:rsidR="008F100F" w:rsidRPr="00880E18" w:rsidRDefault="008F100F" w:rsidP="00A03572">
            <w:pPr>
              <w:jc w:val="center"/>
              <w:rPr>
                <w:rFonts w:ascii="Arial" w:hAnsi="Arial" w:cs="Arial"/>
                <w:b/>
                <w:sz w:val="18"/>
                <w:szCs w:val="18"/>
              </w:rPr>
            </w:pPr>
            <w:r w:rsidRPr="00880E18">
              <w:rPr>
                <w:rFonts w:ascii="Arial" w:hAnsi="Arial" w:cs="Arial"/>
                <w:b/>
                <w:sz w:val="18"/>
                <w:szCs w:val="18"/>
              </w:rPr>
              <w:t>Responsable del cálculo</w:t>
            </w:r>
          </w:p>
        </w:tc>
      </w:tr>
      <w:tr w:rsidR="008F100F" w:rsidRPr="00880E18" w14:paraId="50B4C2F6" w14:textId="77777777" w:rsidTr="00A03572">
        <w:trPr>
          <w:trHeight w:val="430"/>
        </w:trPr>
        <w:tc>
          <w:tcPr>
            <w:tcW w:w="1114" w:type="dxa"/>
            <w:vAlign w:val="center"/>
          </w:tcPr>
          <w:p w14:paraId="02D4FE03" w14:textId="77777777" w:rsidR="008F100F" w:rsidRPr="00880E18" w:rsidRDefault="008F100F" w:rsidP="00A03572">
            <w:pPr>
              <w:jc w:val="center"/>
              <w:rPr>
                <w:rFonts w:ascii="Arial" w:hAnsi="Arial" w:cs="Arial"/>
                <w:sz w:val="18"/>
                <w:szCs w:val="18"/>
              </w:rPr>
            </w:pPr>
            <w:r w:rsidRPr="00880E18">
              <w:rPr>
                <w:rFonts w:ascii="Arial" w:hAnsi="Arial" w:cs="Arial"/>
                <w:sz w:val="18"/>
                <w:szCs w:val="18"/>
              </w:rPr>
              <w:t>Porcentaje</w:t>
            </w:r>
          </w:p>
        </w:tc>
        <w:tc>
          <w:tcPr>
            <w:tcW w:w="1053" w:type="dxa"/>
            <w:vAlign w:val="center"/>
          </w:tcPr>
          <w:p w14:paraId="4021745C" w14:textId="77777777" w:rsidR="008F100F" w:rsidRPr="00880E18" w:rsidRDefault="008F100F" w:rsidP="00A03572">
            <w:pPr>
              <w:pStyle w:val="Sinespaciado"/>
              <w:jc w:val="center"/>
              <w:rPr>
                <w:sz w:val="18"/>
                <w:szCs w:val="18"/>
              </w:rPr>
            </w:pPr>
            <w:r w:rsidRPr="00880E18">
              <w:rPr>
                <w:rFonts w:ascii="Arial" w:hAnsi="Arial" w:cs="Arial"/>
                <w:sz w:val="18"/>
                <w:szCs w:val="18"/>
              </w:rPr>
              <w:t>Urbano y Rural</w:t>
            </w:r>
          </w:p>
        </w:tc>
        <w:tc>
          <w:tcPr>
            <w:tcW w:w="1354" w:type="dxa"/>
            <w:vAlign w:val="center"/>
          </w:tcPr>
          <w:p w14:paraId="5E79BAE6" w14:textId="77777777" w:rsidR="008F100F" w:rsidRPr="00880E18" w:rsidRDefault="008F100F" w:rsidP="00A03572">
            <w:pPr>
              <w:jc w:val="center"/>
              <w:rPr>
                <w:rFonts w:ascii="Arial" w:hAnsi="Arial" w:cs="Arial"/>
                <w:sz w:val="18"/>
                <w:szCs w:val="18"/>
              </w:rPr>
            </w:pPr>
            <w:r w:rsidRPr="00880E18">
              <w:rPr>
                <w:rFonts w:ascii="Arial" w:hAnsi="Arial" w:cs="Arial"/>
                <w:sz w:val="18"/>
                <w:szCs w:val="18"/>
              </w:rPr>
              <w:t>Mensual</w:t>
            </w:r>
          </w:p>
        </w:tc>
        <w:tc>
          <w:tcPr>
            <w:tcW w:w="2540" w:type="dxa"/>
            <w:vAlign w:val="center"/>
          </w:tcPr>
          <w:p w14:paraId="7F03F35A" w14:textId="77777777" w:rsidR="008F100F" w:rsidRPr="00880E18" w:rsidRDefault="008F100F" w:rsidP="00A03572">
            <w:pPr>
              <w:jc w:val="center"/>
              <w:rPr>
                <w:rFonts w:ascii="Arial" w:hAnsi="Arial" w:cs="Arial"/>
                <w:sz w:val="18"/>
                <w:szCs w:val="18"/>
              </w:rPr>
            </w:pPr>
            <w:r w:rsidRPr="00880E18">
              <w:rPr>
                <w:rFonts w:ascii="Arial" w:hAnsi="Arial" w:cs="Arial"/>
                <w:sz w:val="18"/>
                <w:szCs w:val="18"/>
              </w:rPr>
              <w:t>PNSU, PNSR, PASLC</w:t>
            </w:r>
          </w:p>
        </w:tc>
        <w:tc>
          <w:tcPr>
            <w:tcW w:w="2581" w:type="dxa"/>
            <w:vAlign w:val="center"/>
          </w:tcPr>
          <w:p w14:paraId="559BAFD1" w14:textId="77777777" w:rsidR="008F100F" w:rsidRPr="00880E18" w:rsidRDefault="008F100F" w:rsidP="00A03572">
            <w:pPr>
              <w:jc w:val="center"/>
              <w:rPr>
                <w:rFonts w:ascii="Arial" w:hAnsi="Arial" w:cs="Arial"/>
                <w:sz w:val="18"/>
                <w:szCs w:val="18"/>
              </w:rPr>
            </w:pPr>
            <w:r w:rsidRPr="00880E18">
              <w:rPr>
                <w:rFonts w:ascii="Arial" w:hAnsi="Arial" w:cs="Arial"/>
                <w:sz w:val="18"/>
                <w:szCs w:val="18"/>
              </w:rPr>
              <w:t>OGMEI</w:t>
            </w:r>
          </w:p>
        </w:tc>
      </w:tr>
      <w:tr w:rsidR="008F100F" w:rsidRPr="00880E18" w14:paraId="42FBA0C9" w14:textId="77777777" w:rsidTr="00A035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1"/>
        </w:trPr>
        <w:tc>
          <w:tcPr>
            <w:tcW w:w="8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C3832A4" w14:textId="77777777" w:rsidR="008F100F" w:rsidRPr="00880E18" w:rsidRDefault="008F100F" w:rsidP="00A03572">
            <w:pPr>
              <w:rPr>
                <w:rFonts w:ascii="Arial" w:hAnsi="Arial" w:cs="Arial"/>
                <w:b/>
                <w:sz w:val="18"/>
                <w:szCs w:val="18"/>
              </w:rPr>
            </w:pPr>
            <w:bookmarkStart w:id="1" w:name="_Hlk60147480"/>
            <w:r w:rsidRPr="00880E18">
              <w:rPr>
                <w:rFonts w:ascii="Arial" w:hAnsi="Arial" w:cs="Arial"/>
                <w:b/>
                <w:bCs/>
                <w:sz w:val="18"/>
                <w:szCs w:val="18"/>
              </w:rPr>
              <w:t>Definición</w:t>
            </w:r>
          </w:p>
        </w:tc>
      </w:tr>
      <w:tr w:rsidR="008F100F" w:rsidRPr="00880E18" w14:paraId="145F2339" w14:textId="77777777" w:rsidTr="00A035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4"/>
        </w:trPr>
        <w:tc>
          <w:tcPr>
            <w:tcW w:w="8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A540560" w14:textId="36F62B41" w:rsidR="008F100F" w:rsidRPr="00880E18" w:rsidRDefault="008F100F" w:rsidP="002223B5">
            <w:pPr>
              <w:jc w:val="both"/>
              <w:rPr>
                <w:rFonts w:ascii="Arial" w:hAnsi="Arial" w:cs="Arial"/>
                <w:b/>
                <w:sz w:val="18"/>
                <w:szCs w:val="18"/>
              </w:rPr>
            </w:pPr>
            <w:r w:rsidRPr="00880E18">
              <w:rPr>
                <w:rFonts w:ascii="Arial" w:hAnsi="Arial" w:cs="Arial"/>
                <w:sz w:val="18"/>
                <w:szCs w:val="18"/>
              </w:rPr>
              <w:t xml:space="preserve">El indicador mide el porcentaje de la población afectada por la paralización de </w:t>
            </w:r>
            <w:r w:rsidR="0007434F" w:rsidRPr="00880E18">
              <w:rPr>
                <w:rFonts w:ascii="Arial" w:hAnsi="Arial" w:cs="Arial"/>
                <w:sz w:val="18"/>
                <w:szCs w:val="18"/>
              </w:rPr>
              <w:t xml:space="preserve">proyectos </w:t>
            </w:r>
            <w:r w:rsidRPr="00880E18">
              <w:rPr>
                <w:rFonts w:ascii="Arial" w:hAnsi="Arial" w:cs="Arial"/>
                <w:sz w:val="18"/>
                <w:szCs w:val="18"/>
              </w:rPr>
              <w:t xml:space="preserve">de agua y saneamiento </w:t>
            </w:r>
            <w:r w:rsidR="00F54EFA" w:rsidRPr="00880E18">
              <w:rPr>
                <w:rFonts w:ascii="Arial" w:hAnsi="Arial" w:cs="Arial"/>
                <w:sz w:val="18"/>
                <w:szCs w:val="18"/>
              </w:rPr>
              <w:t xml:space="preserve">respecto </w:t>
            </w:r>
            <w:r w:rsidR="00F442D4" w:rsidRPr="00880E18">
              <w:rPr>
                <w:rFonts w:ascii="Arial" w:hAnsi="Arial" w:cs="Arial"/>
                <w:sz w:val="18"/>
                <w:szCs w:val="18"/>
              </w:rPr>
              <w:t>d</w:t>
            </w:r>
            <w:r w:rsidR="00F54EFA" w:rsidRPr="00880E18">
              <w:rPr>
                <w:rFonts w:ascii="Arial" w:hAnsi="Arial" w:cs="Arial"/>
                <w:sz w:val="18"/>
                <w:szCs w:val="18"/>
              </w:rPr>
              <w:t xml:space="preserve">el total de población </w:t>
            </w:r>
            <w:r w:rsidR="002223B5" w:rsidRPr="00880E18">
              <w:rPr>
                <w:rFonts w:ascii="Arial" w:hAnsi="Arial" w:cs="Arial"/>
                <w:sz w:val="18"/>
                <w:szCs w:val="18"/>
              </w:rPr>
              <w:t>beneficiada</w:t>
            </w:r>
            <w:r w:rsidR="00F54EFA" w:rsidRPr="00880E18">
              <w:rPr>
                <w:rFonts w:ascii="Arial" w:hAnsi="Arial" w:cs="Arial"/>
                <w:sz w:val="18"/>
                <w:szCs w:val="18"/>
              </w:rPr>
              <w:t xml:space="preserve"> por los proyectos </w:t>
            </w:r>
            <w:r w:rsidR="00DA0598" w:rsidRPr="00880E18">
              <w:rPr>
                <w:rFonts w:ascii="Arial" w:hAnsi="Arial" w:cs="Arial"/>
                <w:sz w:val="18"/>
                <w:szCs w:val="18"/>
              </w:rPr>
              <w:t xml:space="preserve">de agua y saneamiento </w:t>
            </w:r>
            <w:r w:rsidR="00F54EFA" w:rsidRPr="00880E18">
              <w:rPr>
                <w:rFonts w:ascii="Arial" w:hAnsi="Arial" w:cs="Arial"/>
                <w:sz w:val="18"/>
                <w:szCs w:val="18"/>
              </w:rPr>
              <w:t>en etapa de ejecución</w:t>
            </w:r>
            <w:r w:rsidR="00DA0598" w:rsidRPr="00880E18">
              <w:rPr>
                <w:rFonts w:ascii="Arial" w:hAnsi="Arial" w:cs="Arial"/>
                <w:sz w:val="18"/>
                <w:szCs w:val="18"/>
              </w:rPr>
              <w:t xml:space="preserve">. Por lo general la paralización de proyectos se </w:t>
            </w:r>
            <w:proofErr w:type="gramStart"/>
            <w:r w:rsidR="00DA0598" w:rsidRPr="00880E18">
              <w:rPr>
                <w:rFonts w:ascii="Arial" w:hAnsi="Arial" w:cs="Arial"/>
                <w:sz w:val="18"/>
                <w:szCs w:val="18"/>
              </w:rPr>
              <w:t xml:space="preserve">da  </w:t>
            </w:r>
            <w:r w:rsidRPr="00880E18">
              <w:rPr>
                <w:rFonts w:ascii="Arial" w:hAnsi="Arial" w:cs="Arial"/>
                <w:sz w:val="18"/>
                <w:szCs w:val="18"/>
              </w:rPr>
              <w:t>por</w:t>
            </w:r>
            <w:proofErr w:type="gramEnd"/>
            <w:r w:rsidRPr="00880E18">
              <w:rPr>
                <w:rFonts w:ascii="Arial" w:hAnsi="Arial" w:cs="Arial"/>
                <w:sz w:val="18"/>
                <w:szCs w:val="18"/>
              </w:rPr>
              <w:t xml:space="preserve"> incumplimiento contractual, deficiencias en el expediente técnico y deficiencia administrati</w:t>
            </w:r>
            <w:r w:rsidR="00F442D4" w:rsidRPr="00880E18">
              <w:rPr>
                <w:rFonts w:ascii="Arial" w:hAnsi="Arial" w:cs="Arial"/>
                <w:sz w:val="18"/>
                <w:szCs w:val="18"/>
              </w:rPr>
              <w:t>va</w:t>
            </w:r>
            <w:r w:rsidR="00BB7441" w:rsidRPr="00880E18">
              <w:rPr>
                <w:rFonts w:ascii="Arial" w:hAnsi="Arial" w:cs="Arial"/>
                <w:sz w:val="18"/>
                <w:szCs w:val="18"/>
              </w:rPr>
              <w:t>.</w:t>
            </w:r>
          </w:p>
        </w:tc>
      </w:tr>
      <w:tr w:rsidR="008F100F" w:rsidRPr="00880E18" w14:paraId="7110232D" w14:textId="77777777" w:rsidTr="00A035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1"/>
        </w:trPr>
        <w:tc>
          <w:tcPr>
            <w:tcW w:w="8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0D6F20A" w14:textId="77777777" w:rsidR="008F100F" w:rsidRPr="00880E18" w:rsidRDefault="008F100F" w:rsidP="00A03572">
            <w:pPr>
              <w:rPr>
                <w:rFonts w:ascii="Arial" w:hAnsi="Arial" w:cs="Arial"/>
                <w:b/>
                <w:sz w:val="18"/>
                <w:szCs w:val="18"/>
              </w:rPr>
            </w:pPr>
            <w:r w:rsidRPr="00880E18">
              <w:rPr>
                <w:rFonts w:ascii="Arial" w:hAnsi="Arial" w:cs="Arial"/>
                <w:b/>
                <w:bCs/>
                <w:sz w:val="18"/>
                <w:szCs w:val="18"/>
              </w:rPr>
              <w:t>Justificación</w:t>
            </w:r>
          </w:p>
        </w:tc>
      </w:tr>
      <w:tr w:rsidR="008F100F" w:rsidRPr="00880E18" w14:paraId="29249514" w14:textId="77777777" w:rsidTr="00A035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1"/>
        </w:trPr>
        <w:tc>
          <w:tcPr>
            <w:tcW w:w="8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322625F" w14:textId="1CE62718" w:rsidR="008F100F" w:rsidRPr="00880E18" w:rsidRDefault="008F100F" w:rsidP="00776990">
            <w:pPr>
              <w:jc w:val="both"/>
              <w:rPr>
                <w:rFonts w:ascii="Arial" w:hAnsi="Arial" w:cs="Arial"/>
                <w:sz w:val="18"/>
                <w:szCs w:val="18"/>
              </w:rPr>
            </w:pPr>
            <w:r w:rsidRPr="00880E18">
              <w:rPr>
                <w:rFonts w:ascii="Arial" w:hAnsi="Arial" w:cs="Arial"/>
                <w:sz w:val="18"/>
                <w:szCs w:val="18"/>
              </w:rPr>
              <w:t xml:space="preserve">El presente indicador permitirá </w:t>
            </w:r>
            <w:r w:rsidR="00F442D4" w:rsidRPr="00880E18">
              <w:rPr>
                <w:rFonts w:ascii="Arial" w:hAnsi="Arial" w:cs="Arial"/>
                <w:sz w:val="18"/>
                <w:szCs w:val="18"/>
              </w:rPr>
              <w:t xml:space="preserve">identificar el porcentaje de la población </w:t>
            </w:r>
            <w:r w:rsidR="00776990" w:rsidRPr="00880E18">
              <w:rPr>
                <w:rFonts w:ascii="Arial" w:hAnsi="Arial" w:cs="Arial"/>
                <w:sz w:val="18"/>
                <w:szCs w:val="18"/>
              </w:rPr>
              <w:t xml:space="preserve">que </w:t>
            </w:r>
            <w:r w:rsidR="00BB7441" w:rsidRPr="00880E18">
              <w:rPr>
                <w:rFonts w:ascii="Arial" w:hAnsi="Arial" w:cs="Arial"/>
                <w:sz w:val="18"/>
                <w:szCs w:val="18"/>
              </w:rPr>
              <w:t>retrasará</w:t>
            </w:r>
            <w:r w:rsidR="00776990" w:rsidRPr="00880E18">
              <w:rPr>
                <w:rFonts w:ascii="Arial" w:hAnsi="Arial" w:cs="Arial"/>
                <w:sz w:val="18"/>
                <w:szCs w:val="18"/>
              </w:rPr>
              <w:t xml:space="preserve"> el tiempo estimado para acceder a los </w:t>
            </w:r>
            <w:r w:rsidR="00F442D4" w:rsidRPr="00880E18">
              <w:rPr>
                <w:rFonts w:ascii="Arial" w:hAnsi="Arial" w:cs="Arial"/>
                <w:sz w:val="18"/>
                <w:szCs w:val="18"/>
              </w:rPr>
              <w:t xml:space="preserve">servicios </w:t>
            </w:r>
            <w:r w:rsidR="00BB7441" w:rsidRPr="00880E18">
              <w:rPr>
                <w:rFonts w:ascii="Arial" w:hAnsi="Arial" w:cs="Arial"/>
                <w:sz w:val="18"/>
                <w:szCs w:val="18"/>
              </w:rPr>
              <w:t xml:space="preserve">de agua y saneamiento </w:t>
            </w:r>
            <w:r w:rsidR="00F442D4" w:rsidRPr="00880E18">
              <w:rPr>
                <w:rFonts w:ascii="Arial" w:hAnsi="Arial" w:cs="Arial"/>
                <w:sz w:val="18"/>
                <w:szCs w:val="18"/>
              </w:rPr>
              <w:t xml:space="preserve">debido a </w:t>
            </w:r>
            <w:r w:rsidR="00BB7441" w:rsidRPr="00880E18">
              <w:rPr>
                <w:rFonts w:ascii="Arial" w:hAnsi="Arial" w:cs="Arial"/>
                <w:sz w:val="18"/>
                <w:szCs w:val="18"/>
              </w:rPr>
              <w:t xml:space="preserve">la paralización de </w:t>
            </w:r>
            <w:r w:rsidR="00F442D4" w:rsidRPr="00880E18">
              <w:rPr>
                <w:rFonts w:ascii="Arial" w:hAnsi="Arial" w:cs="Arial"/>
                <w:sz w:val="18"/>
                <w:szCs w:val="18"/>
              </w:rPr>
              <w:t>los proyectos</w:t>
            </w:r>
            <w:r w:rsidRPr="00880E18">
              <w:rPr>
                <w:rFonts w:ascii="Arial" w:hAnsi="Arial" w:cs="Arial"/>
                <w:sz w:val="18"/>
                <w:szCs w:val="18"/>
              </w:rPr>
              <w:t xml:space="preserve">. </w:t>
            </w:r>
            <w:r w:rsidR="00BB7441" w:rsidRPr="00880E18">
              <w:rPr>
                <w:rFonts w:ascii="Arial" w:hAnsi="Arial" w:cs="Arial"/>
                <w:sz w:val="18"/>
                <w:szCs w:val="18"/>
              </w:rPr>
              <w:t xml:space="preserve">Cabe precisar que, </w:t>
            </w:r>
            <w:r w:rsidRPr="00880E18">
              <w:rPr>
                <w:rFonts w:ascii="Arial" w:hAnsi="Arial" w:cs="Arial"/>
                <w:sz w:val="18"/>
                <w:szCs w:val="18"/>
              </w:rPr>
              <w:t>la demora en e</w:t>
            </w:r>
            <w:r w:rsidR="00BB7441" w:rsidRPr="00880E18">
              <w:rPr>
                <w:rFonts w:ascii="Arial" w:hAnsi="Arial" w:cs="Arial"/>
                <w:sz w:val="18"/>
                <w:szCs w:val="18"/>
              </w:rPr>
              <w:t>l acceso a los servicios puede transformarse</w:t>
            </w:r>
            <w:r w:rsidRPr="00880E18">
              <w:rPr>
                <w:rFonts w:ascii="Arial" w:hAnsi="Arial" w:cs="Arial"/>
                <w:sz w:val="18"/>
                <w:szCs w:val="18"/>
              </w:rPr>
              <w:t xml:space="preserve"> en una fuente potencial de conflictos sociale</w:t>
            </w:r>
            <w:r w:rsidR="00BB7441" w:rsidRPr="00880E18">
              <w:rPr>
                <w:rFonts w:ascii="Arial" w:hAnsi="Arial" w:cs="Arial"/>
                <w:sz w:val="18"/>
                <w:szCs w:val="18"/>
              </w:rPr>
              <w:t>s</w:t>
            </w:r>
            <w:r w:rsidRPr="00880E18">
              <w:rPr>
                <w:rFonts w:ascii="Arial" w:hAnsi="Arial" w:cs="Arial"/>
                <w:sz w:val="18"/>
                <w:szCs w:val="18"/>
              </w:rPr>
              <w:t xml:space="preserve"> </w:t>
            </w:r>
            <w:r w:rsidR="00BB7441" w:rsidRPr="00880E18">
              <w:rPr>
                <w:rFonts w:ascii="Arial" w:hAnsi="Arial" w:cs="Arial"/>
                <w:sz w:val="18"/>
                <w:szCs w:val="18"/>
              </w:rPr>
              <w:t>p</w:t>
            </w:r>
            <w:r w:rsidR="00DA0598" w:rsidRPr="00880E18">
              <w:rPr>
                <w:rFonts w:ascii="Arial" w:hAnsi="Arial" w:cs="Arial"/>
                <w:sz w:val="18"/>
                <w:szCs w:val="18"/>
              </w:rPr>
              <w:t>or eso</w:t>
            </w:r>
            <w:r w:rsidR="002223B5" w:rsidRPr="00880E18">
              <w:rPr>
                <w:rFonts w:ascii="Arial" w:hAnsi="Arial" w:cs="Arial"/>
                <w:sz w:val="18"/>
                <w:szCs w:val="18"/>
              </w:rPr>
              <w:t>,</w:t>
            </w:r>
            <w:r w:rsidRPr="00880E18">
              <w:rPr>
                <w:rFonts w:ascii="Arial" w:hAnsi="Arial" w:cs="Arial"/>
                <w:sz w:val="18"/>
                <w:szCs w:val="18"/>
              </w:rPr>
              <w:t xml:space="preserve"> es importante la cuantific</w:t>
            </w:r>
            <w:r w:rsidR="00BB7441" w:rsidRPr="00880E18">
              <w:rPr>
                <w:rFonts w:ascii="Arial" w:hAnsi="Arial" w:cs="Arial"/>
                <w:sz w:val="18"/>
                <w:szCs w:val="18"/>
              </w:rPr>
              <w:t>ación de la población afectada</w:t>
            </w:r>
            <w:r w:rsidR="003219DD" w:rsidRPr="00880E18">
              <w:rPr>
                <w:rFonts w:ascii="Arial" w:hAnsi="Arial" w:cs="Arial"/>
                <w:sz w:val="18"/>
                <w:szCs w:val="18"/>
              </w:rPr>
              <w:t xml:space="preserve"> </w:t>
            </w:r>
            <w:r w:rsidR="00776990" w:rsidRPr="00880E18">
              <w:rPr>
                <w:rFonts w:ascii="Arial" w:hAnsi="Arial" w:cs="Arial"/>
                <w:sz w:val="18"/>
                <w:szCs w:val="18"/>
              </w:rPr>
              <w:t>pues permite</w:t>
            </w:r>
            <w:r w:rsidR="003219DD" w:rsidRPr="00880E18">
              <w:rPr>
                <w:rFonts w:ascii="Arial" w:hAnsi="Arial" w:cs="Arial"/>
                <w:sz w:val="18"/>
                <w:szCs w:val="18"/>
              </w:rPr>
              <w:t xml:space="preserve"> trazar metas de mejora</w:t>
            </w:r>
            <w:r w:rsidR="00BB7441" w:rsidRPr="00880E18">
              <w:rPr>
                <w:rFonts w:ascii="Arial" w:hAnsi="Arial" w:cs="Arial"/>
                <w:sz w:val="18"/>
                <w:szCs w:val="18"/>
              </w:rPr>
              <w:t>.</w:t>
            </w:r>
          </w:p>
        </w:tc>
      </w:tr>
      <w:tr w:rsidR="008F100F" w:rsidRPr="00880E18" w14:paraId="35CD23BB" w14:textId="77777777" w:rsidTr="00A035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1"/>
        </w:trPr>
        <w:tc>
          <w:tcPr>
            <w:tcW w:w="8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F56F3A1" w14:textId="77777777" w:rsidR="008F100F" w:rsidRPr="00880E18" w:rsidRDefault="008F100F" w:rsidP="00A03572">
            <w:pPr>
              <w:rPr>
                <w:rFonts w:ascii="Arial" w:hAnsi="Arial" w:cs="Arial"/>
                <w:b/>
                <w:sz w:val="18"/>
                <w:szCs w:val="18"/>
              </w:rPr>
            </w:pPr>
            <w:r w:rsidRPr="00880E18">
              <w:rPr>
                <w:rFonts w:ascii="Arial" w:hAnsi="Arial" w:cs="Arial"/>
                <w:b/>
                <w:sz w:val="18"/>
                <w:szCs w:val="18"/>
              </w:rPr>
              <w:t>Método de Cálculo</w:t>
            </w:r>
          </w:p>
        </w:tc>
      </w:tr>
      <w:tr w:rsidR="008F100F" w:rsidRPr="00880E18" w14:paraId="02389506" w14:textId="77777777" w:rsidTr="00A035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
        </w:trPr>
        <w:tc>
          <w:tcPr>
            <w:tcW w:w="8642" w:type="dxa"/>
            <w:gridSpan w:val="5"/>
            <w:tcBorders>
              <w:top w:val="single" w:sz="4" w:space="0" w:color="auto"/>
              <w:left w:val="single" w:sz="4" w:space="0" w:color="auto"/>
              <w:bottom w:val="single" w:sz="4" w:space="0" w:color="auto"/>
              <w:right w:val="single" w:sz="4" w:space="0" w:color="auto"/>
            </w:tcBorders>
            <w:vAlign w:val="center"/>
          </w:tcPr>
          <w:p w14:paraId="19E09846" w14:textId="6B0EAC7B" w:rsidR="008F100F" w:rsidRPr="00880E18" w:rsidRDefault="008F100F" w:rsidP="00A03572">
            <w:pPr>
              <w:rPr>
                <w:rFonts w:ascii="Arial" w:hAnsi="Arial" w:cs="Arial"/>
                <w:sz w:val="18"/>
                <w:szCs w:val="18"/>
              </w:rPr>
            </w:pPr>
            <w:r w:rsidRPr="00880E18">
              <w:rPr>
                <w:rFonts w:ascii="Arial" w:hAnsi="Arial" w:cs="Arial"/>
                <w:sz w:val="18"/>
                <w:szCs w:val="18"/>
              </w:rPr>
              <w:t xml:space="preserve">Fórmula </w:t>
            </w:r>
            <m:oMath>
              <m:r>
                <w:rPr>
                  <w:rFonts w:ascii="Cambria Math" w:eastAsiaTheme="minorEastAsia" w:hAnsi="Cambria Math" w:cs="Arial"/>
                  <w:sz w:val="18"/>
                  <w:szCs w:val="18"/>
                </w:rPr>
                <m:t>=</m:t>
              </m:r>
              <m:f>
                <m:fPr>
                  <m:ctrlPr>
                    <w:rPr>
                      <w:rFonts w:ascii="Cambria Math" w:eastAsiaTheme="minorEastAsia" w:hAnsi="Cambria Math" w:cs="Arial"/>
                      <w:i/>
                      <w:sz w:val="18"/>
                      <w:szCs w:val="18"/>
                    </w:rPr>
                  </m:ctrlPr>
                </m:fPr>
                <m:num>
                  <m:r>
                    <w:rPr>
                      <w:rFonts w:ascii="Cambria Math" w:eastAsiaTheme="minorEastAsia" w:hAnsi="Cambria Math" w:cs="Arial"/>
                      <w:sz w:val="18"/>
                      <w:szCs w:val="18"/>
                    </w:rPr>
                    <m:t>X</m:t>
                  </m:r>
                </m:num>
                <m:den>
                  <m:r>
                    <w:rPr>
                      <w:rFonts w:ascii="Cambria Math" w:eastAsiaTheme="minorEastAsia" w:hAnsi="Cambria Math" w:cs="Arial"/>
                      <w:sz w:val="18"/>
                      <w:szCs w:val="18"/>
                    </w:rPr>
                    <m:t>N</m:t>
                  </m:r>
                </m:den>
              </m:f>
            </m:oMath>
            <w:r w:rsidRPr="00880E18">
              <w:rPr>
                <w:rFonts w:ascii="Arial" w:eastAsiaTheme="minorEastAsia" w:hAnsi="Arial" w:cs="Arial"/>
                <w:sz w:val="18"/>
                <w:szCs w:val="18"/>
              </w:rPr>
              <w:t>x100</w:t>
            </w:r>
          </w:p>
          <w:p w14:paraId="583E7904" w14:textId="77777777" w:rsidR="008F100F" w:rsidRPr="00880E18" w:rsidRDefault="008F100F" w:rsidP="00A03572">
            <w:pPr>
              <w:rPr>
                <w:rFonts w:ascii="Arial" w:hAnsi="Arial" w:cs="Arial"/>
                <w:sz w:val="18"/>
                <w:szCs w:val="18"/>
              </w:rPr>
            </w:pPr>
          </w:p>
          <w:p w14:paraId="6FB56225" w14:textId="77777777" w:rsidR="008F100F" w:rsidRPr="00880E18" w:rsidRDefault="008F100F" w:rsidP="00A03572">
            <w:pPr>
              <w:rPr>
                <w:rFonts w:ascii="Arial" w:hAnsi="Arial" w:cs="Arial"/>
                <w:sz w:val="18"/>
                <w:szCs w:val="18"/>
              </w:rPr>
            </w:pPr>
            <w:r w:rsidRPr="00880E18">
              <w:rPr>
                <w:rFonts w:ascii="Arial" w:hAnsi="Arial" w:cs="Arial"/>
                <w:sz w:val="18"/>
                <w:szCs w:val="18"/>
              </w:rPr>
              <w:t>Donde:</w:t>
            </w:r>
          </w:p>
          <w:p w14:paraId="1C832186" w14:textId="33631C67" w:rsidR="008F100F" w:rsidRPr="00880E18" w:rsidRDefault="00D13E08" w:rsidP="00A03572">
            <w:pPr>
              <w:ind w:left="313" w:hanging="291"/>
              <w:jc w:val="both"/>
              <w:rPr>
                <w:rFonts w:ascii="Arial" w:hAnsi="Arial" w:cs="Arial"/>
                <w:sz w:val="18"/>
                <w:szCs w:val="18"/>
              </w:rPr>
            </w:pPr>
            <w:r w:rsidRPr="00880E18">
              <w:rPr>
                <w:rFonts w:ascii="Arial" w:hAnsi="Arial" w:cs="Arial"/>
                <w:sz w:val="18"/>
                <w:szCs w:val="18"/>
              </w:rPr>
              <w:t xml:space="preserve">X = </w:t>
            </w:r>
            <w:r w:rsidR="006333B2">
              <w:rPr>
                <w:rFonts w:ascii="Arial" w:hAnsi="Arial" w:cs="Arial"/>
                <w:sz w:val="18"/>
                <w:szCs w:val="18"/>
              </w:rPr>
              <w:t>Total de la p</w:t>
            </w:r>
            <w:r w:rsidRPr="00880E18">
              <w:rPr>
                <w:rFonts w:ascii="Arial" w:hAnsi="Arial" w:cs="Arial"/>
                <w:sz w:val="18"/>
                <w:szCs w:val="18"/>
              </w:rPr>
              <w:t xml:space="preserve">oblación </w:t>
            </w:r>
            <w:r w:rsidR="002223B5" w:rsidRPr="00880E18">
              <w:rPr>
                <w:rFonts w:ascii="Arial" w:hAnsi="Arial" w:cs="Arial"/>
                <w:sz w:val="18"/>
                <w:szCs w:val="18"/>
              </w:rPr>
              <w:t>afectada</w:t>
            </w:r>
            <w:r w:rsidRPr="00880E18">
              <w:rPr>
                <w:rFonts w:ascii="Arial" w:hAnsi="Arial" w:cs="Arial"/>
                <w:sz w:val="18"/>
                <w:szCs w:val="18"/>
              </w:rPr>
              <w:t xml:space="preserve"> de los proyectos </w:t>
            </w:r>
            <w:r w:rsidR="00DA0598" w:rsidRPr="00880E18">
              <w:rPr>
                <w:rFonts w:ascii="Arial" w:hAnsi="Arial" w:cs="Arial"/>
                <w:sz w:val="18"/>
                <w:szCs w:val="18"/>
              </w:rPr>
              <w:t>de agua y saneamiento paralizado</w:t>
            </w:r>
            <w:r w:rsidR="008F100F" w:rsidRPr="00880E18">
              <w:rPr>
                <w:rFonts w:ascii="Arial" w:hAnsi="Arial" w:cs="Arial"/>
                <w:sz w:val="18"/>
                <w:szCs w:val="18"/>
              </w:rPr>
              <w:t>s.</w:t>
            </w:r>
          </w:p>
          <w:p w14:paraId="6DA9E3B9" w14:textId="353879BA" w:rsidR="008F100F" w:rsidRPr="00880E18" w:rsidRDefault="008F100F" w:rsidP="00A03572">
            <w:pPr>
              <w:ind w:left="313" w:hanging="291"/>
              <w:rPr>
                <w:rFonts w:ascii="Arial" w:hAnsi="Arial" w:cs="Arial"/>
                <w:sz w:val="18"/>
                <w:szCs w:val="18"/>
              </w:rPr>
            </w:pPr>
            <w:r w:rsidRPr="00880E18">
              <w:rPr>
                <w:rFonts w:ascii="Arial" w:hAnsi="Arial" w:cs="Arial"/>
                <w:sz w:val="18"/>
                <w:szCs w:val="18"/>
              </w:rPr>
              <w:t xml:space="preserve">n = Total de la población </w:t>
            </w:r>
            <w:r w:rsidR="002223B5" w:rsidRPr="00880E18">
              <w:rPr>
                <w:rFonts w:ascii="Arial" w:hAnsi="Arial" w:cs="Arial"/>
                <w:sz w:val="18"/>
                <w:szCs w:val="18"/>
              </w:rPr>
              <w:t>beneficiada</w:t>
            </w:r>
            <w:r w:rsidRPr="00880E18">
              <w:rPr>
                <w:rFonts w:ascii="Arial" w:hAnsi="Arial" w:cs="Arial"/>
                <w:sz w:val="18"/>
                <w:szCs w:val="18"/>
              </w:rPr>
              <w:t xml:space="preserve"> de </w:t>
            </w:r>
            <w:r w:rsidR="00436DB2" w:rsidRPr="00880E18">
              <w:rPr>
                <w:rFonts w:ascii="Arial" w:hAnsi="Arial" w:cs="Arial"/>
                <w:sz w:val="18"/>
                <w:szCs w:val="18"/>
              </w:rPr>
              <w:t>los proyectos de</w:t>
            </w:r>
            <w:r w:rsidRPr="00880E18">
              <w:rPr>
                <w:rFonts w:ascii="Arial" w:hAnsi="Arial" w:cs="Arial"/>
                <w:sz w:val="18"/>
                <w:szCs w:val="18"/>
              </w:rPr>
              <w:t xml:space="preserve"> agua y </w:t>
            </w:r>
            <w:r w:rsidR="00A70D86" w:rsidRPr="00880E18">
              <w:rPr>
                <w:rFonts w:ascii="Arial" w:hAnsi="Arial" w:cs="Arial"/>
                <w:sz w:val="18"/>
                <w:szCs w:val="18"/>
              </w:rPr>
              <w:t>saneamiento</w:t>
            </w:r>
            <w:r w:rsidR="00436DB2" w:rsidRPr="00880E18">
              <w:rPr>
                <w:rFonts w:ascii="Arial" w:hAnsi="Arial" w:cs="Arial"/>
                <w:sz w:val="18"/>
                <w:szCs w:val="18"/>
              </w:rPr>
              <w:t xml:space="preserve"> </w:t>
            </w:r>
            <w:r w:rsidR="007A597A" w:rsidRPr="00880E18">
              <w:rPr>
                <w:rFonts w:ascii="Arial" w:hAnsi="Arial" w:cs="Arial"/>
                <w:sz w:val="18"/>
                <w:szCs w:val="18"/>
              </w:rPr>
              <w:t xml:space="preserve">que se encuentran </w:t>
            </w:r>
            <w:r w:rsidR="00DA0598" w:rsidRPr="00880E18">
              <w:rPr>
                <w:rFonts w:ascii="Arial" w:hAnsi="Arial" w:cs="Arial"/>
                <w:sz w:val="18"/>
                <w:szCs w:val="18"/>
              </w:rPr>
              <w:t xml:space="preserve">en etapa de ejecución (incluye los que efectivamente están </w:t>
            </w:r>
            <w:r w:rsidR="00077889" w:rsidRPr="00880E18">
              <w:rPr>
                <w:rFonts w:ascii="Arial" w:hAnsi="Arial" w:cs="Arial"/>
                <w:sz w:val="18"/>
                <w:szCs w:val="18"/>
              </w:rPr>
              <w:t>ejecutando</w:t>
            </w:r>
            <w:r w:rsidR="00DA0598" w:rsidRPr="00880E18">
              <w:rPr>
                <w:rFonts w:ascii="Arial" w:hAnsi="Arial" w:cs="Arial"/>
                <w:sz w:val="18"/>
                <w:szCs w:val="18"/>
              </w:rPr>
              <w:t xml:space="preserve"> obra y aquellos que se paralizaron)</w:t>
            </w:r>
          </w:p>
          <w:p w14:paraId="67BFA4D2" w14:textId="77777777" w:rsidR="008F100F" w:rsidRPr="00880E18" w:rsidRDefault="008F100F" w:rsidP="00A03572">
            <w:pPr>
              <w:rPr>
                <w:rFonts w:ascii="Arial" w:hAnsi="Arial" w:cs="Arial"/>
                <w:b/>
                <w:sz w:val="18"/>
                <w:szCs w:val="18"/>
              </w:rPr>
            </w:pPr>
            <w:r w:rsidRPr="00880E18">
              <w:rPr>
                <w:rFonts w:ascii="Arial" w:hAnsi="Arial" w:cs="Arial"/>
                <w:b/>
                <w:sz w:val="18"/>
                <w:szCs w:val="18"/>
              </w:rPr>
              <w:t xml:space="preserve">Precisiones: </w:t>
            </w:r>
          </w:p>
          <w:p w14:paraId="3E22E7DA" w14:textId="77777777" w:rsidR="008F100F" w:rsidRPr="00880E18" w:rsidRDefault="008F100F" w:rsidP="00A03572">
            <w:pPr>
              <w:pStyle w:val="Prrafodelista"/>
              <w:numPr>
                <w:ilvl w:val="0"/>
                <w:numId w:val="1"/>
              </w:numPr>
              <w:ind w:left="454"/>
              <w:jc w:val="both"/>
              <w:rPr>
                <w:rFonts w:ascii="Arial" w:hAnsi="Arial" w:cs="Arial"/>
                <w:sz w:val="18"/>
                <w:szCs w:val="18"/>
              </w:rPr>
            </w:pPr>
            <w:r w:rsidRPr="00880E18">
              <w:rPr>
                <w:rFonts w:ascii="Arial" w:hAnsi="Arial" w:cs="Arial"/>
                <w:sz w:val="18"/>
                <w:szCs w:val="18"/>
              </w:rPr>
              <w:t>Se consideran los proyectos de inversión e IOARR en agua y saneamiento.</w:t>
            </w:r>
          </w:p>
          <w:p w14:paraId="5C256EAF" w14:textId="77777777" w:rsidR="008F100F" w:rsidRPr="00880E18" w:rsidRDefault="008F100F" w:rsidP="00A03572">
            <w:pPr>
              <w:pStyle w:val="Prrafodelista"/>
              <w:numPr>
                <w:ilvl w:val="0"/>
                <w:numId w:val="1"/>
              </w:numPr>
              <w:ind w:left="454"/>
              <w:jc w:val="both"/>
              <w:rPr>
                <w:rFonts w:ascii="Arial" w:hAnsi="Arial" w:cs="Arial"/>
                <w:sz w:val="18"/>
                <w:szCs w:val="18"/>
                <w:u w:val="single"/>
              </w:rPr>
            </w:pPr>
            <w:r w:rsidRPr="00880E18">
              <w:rPr>
                <w:rFonts w:ascii="Arial" w:hAnsi="Arial" w:cs="Arial"/>
                <w:sz w:val="18"/>
                <w:szCs w:val="18"/>
              </w:rPr>
              <w:t xml:space="preserve">Se considera la cantidad de población beneficiaria proyectada, según el expediente técnico del proyecto o la identificada en la base de datos que contiene la Matriz de Obras Paralizadas. </w:t>
            </w:r>
          </w:p>
          <w:p w14:paraId="56630CCC" w14:textId="129F3094" w:rsidR="002223B5" w:rsidRPr="00880E18" w:rsidRDefault="008F100F" w:rsidP="00A03572">
            <w:pPr>
              <w:pStyle w:val="Prrafodelista"/>
              <w:numPr>
                <w:ilvl w:val="0"/>
                <w:numId w:val="1"/>
              </w:numPr>
              <w:ind w:left="454"/>
              <w:jc w:val="both"/>
              <w:rPr>
                <w:rFonts w:ascii="Arial" w:hAnsi="Arial" w:cs="Arial"/>
                <w:sz w:val="18"/>
                <w:szCs w:val="18"/>
                <w:u w:val="single"/>
              </w:rPr>
            </w:pPr>
            <w:r w:rsidRPr="00880E18">
              <w:rPr>
                <w:rFonts w:ascii="Arial" w:hAnsi="Arial" w:cs="Arial"/>
                <w:sz w:val="18"/>
                <w:szCs w:val="18"/>
                <w:u w:val="single"/>
              </w:rPr>
              <w:t>Población afectada.</w:t>
            </w:r>
            <w:r w:rsidRPr="00880E18">
              <w:rPr>
                <w:rFonts w:ascii="Arial" w:hAnsi="Arial" w:cs="Arial"/>
                <w:sz w:val="18"/>
                <w:szCs w:val="18"/>
              </w:rPr>
              <w:t xml:space="preserve"> Es la población establecida en el expediente técnico </w:t>
            </w:r>
            <w:r w:rsidR="009619A2" w:rsidRPr="00880E18">
              <w:rPr>
                <w:rFonts w:ascii="Arial" w:hAnsi="Arial" w:cs="Arial"/>
                <w:sz w:val="18"/>
                <w:szCs w:val="18"/>
              </w:rPr>
              <w:t>del proyecto</w:t>
            </w:r>
            <w:r w:rsidRPr="00880E18">
              <w:rPr>
                <w:rFonts w:ascii="Arial" w:hAnsi="Arial" w:cs="Arial"/>
                <w:sz w:val="18"/>
                <w:szCs w:val="18"/>
              </w:rPr>
              <w:t xml:space="preserve"> que accederá al servicio de agua y saneamiento una vez que esté en operación, y que en el momento de la medición permanece paralizada por más de seis meses</w:t>
            </w:r>
            <w:r w:rsidR="002223B5" w:rsidRPr="00880E18">
              <w:rPr>
                <w:rFonts w:ascii="Arial" w:hAnsi="Arial" w:cs="Arial"/>
                <w:sz w:val="18"/>
                <w:szCs w:val="18"/>
              </w:rPr>
              <w:t>.</w:t>
            </w:r>
          </w:p>
          <w:p w14:paraId="23141D45" w14:textId="5973390C" w:rsidR="008F100F" w:rsidRPr="00880E18" w:rsidRDefault="002223B5" w:rsidP="00A03572">
            <w:pPr>
              <w:pStyle w:val="Prrafodelista"/>
              <w:numPr>
                <w:ilvl w:val="0"/>
                <w:numId w:val="1"/>
              </w:numPr>
              <w:ind w:left="454"/>
              <w:jc w:val="both"/>
              <w:rPr>
                <w:rFonts w:ascii="Arial" w:hAnsi="Arial" w:cs="Arial"/>
                <w:sz w:val="18"/>
                <w:szCs w:val="18"/>
                <w:u w:val="single"/>
              </w:rPr>
            </w:pPr>
            <w:r w:rsidRPr="00880E18">
              <w:rPr>
                <w:rFonts w:ascii="Arial" w:hAnsi="Arial" w:cs="Arial"/>
                <w:sz w:val="18"/>
                <w:szCs w:val="18"/>
                <w:u w:val="single"/>
              </w:rPr>
              <w:t>Población beneficiada:</w:t>
            </w:r>
            <w:r w:rsidRPr="00880E18">
              <w:rPr>
                <w:rFonts w:ascii="Arial" w:hAnsi="Arial" w:cs="Arial"/>
                <w:sz w:val="18"/>
                <w:szCs w:val="18"/>
              </w:rPr>
              <w:t xml:space="preserve"> Es la población</w:t>
            </w:r>
            <w:r w:rsidR="008F100F" w:rsidRPr="00880E18">
              <w:rPr>
                <w:rFonts w:ascii="Arial" w:hAnsi="Arial" w:cs="Arial"/>
                <w:sz w:val="18"/>
                <w:szCs w:val="18"/>
              </w:rPr>
              <w:t xml:space="preserve"> </w:t>
            </w:r>
            <w:r w:rsidRPr="00880E18">
              <w:rPr>
                <w:rFonts w:ascii="Arial" w:hAnsi="Arial" w:cs="Arial"/>
                <w:sz w:val="18"/>
                <w:szCs w:val="18"/>
              </w:rPr>
              <w:t>establecid</w:t>
            </w:r>
            <w:r w:rsidR="009619A2" w:rsidRPr="00880E18">
              <w:rPr>
                <w:rFonts w:ascii="Arial" w:hAnsi="Arial" w:cs="Arial"/>
                <w:sz w:val="18"/>
                <w:szCs w:val="18"/>
              </w:rPr>
              <w:t>a en el expediente técnico del proyecto</w:t>
            </w:r>
            <w:r w:rsidRPr="00880E18">
              <w:rPr>
                <w:rFonts w:ascii="Arial" w:hAnsi="Arial" w:cs="Arial"/>
                <w:sz w:val="18"/>
                <w:szCs w:val="18"/>
              </w:rPr>
              <w:t xml:space="preserve"> que accederá al servicio de agua y saneamiento luego de </w:t>
            </w:r>
            <w:r w:rsidR="009619A2" w:rsidRPr="00880E18">
              <w:rPr>
                <w:rFonts w:ascii="Arial" w:hAnsi="Arial" w:cs="Arial"/>
                <w:sz w:val="18"/>
                <w:szCs w:val="18"/>
              </w:rPr>
              <w:t>terminada la ejecución d</w:t>
            </w:r>
            <w:r w:rsidRPr="00880E18">
              <w:rPr>
                <w:rFonts w:ascii="Arial" w:hAnsi="Arial" w:cs="Arial"/>
                <w:sz w:val="18"/>
                <w:szCs w:val="18"/>
              </w:rPr>
              <w:t>el proyecto</w:t>
            </w:r>
            <w:r w:rsidR="009619A2" w:rsidRPr="00880E18">
              <w:rPr>
                <w:rFonts w:ascii="Arial" w:hAnsi="Arial" w:cs="Arial"/>
                <w:sz w:val="18"/>
                <w:szCs w:val="18"/>
              </w:rPr>
              <w:t>.</w:t>
            </w:r>
          </w:p>
          <w:p w14:paraId="09DF70E1" w14:textId="5BFA2374" w:rsidR="00591775" w:rsidRPr="00880E18" w:rsidRDefault="00591775" w:rsidP="00A03572">
            <w:pPr>
              <w:pStyle w:val="Prrafodelista"/>
              <w:numPr>
                <w:ilvl w:val="0"/>
                <w:numId w:val="1"/>
              </w:numPr>
              <w:ind w:left="454"/>
              <w:jc w:val="both"/>
              <w:rPr>
                <w:rFonts w:ascii="Arial" w:hAnsi="Arial" w:cs="Arial"/>
                <w:sz w:val="18"/>
                <w:szCs w:val="18"/>
              </w:rPr>
            </w:pPr>
            <w:r w:rsidRPr="00880E18">
              <w:rPr>
                <w:rFonts w:ascii="Arial" w:hAnsi="Arial" w:cs="Arial"/>
                <w:sz w:val="18"/>
                <w:szCs w:val="18"/>
                <w:u w:val="single"/>
              </w:rPr>
              <w:t>Proyecto paralizado</w:t>
            </w:r>
            <w:r w:rsidRPr="00880E18">
              <w:rPr>
                <w:rFonts w:ascii="Arial" w:hAnsi="Arial" w:cs="Arial"/>
                <w:sz w:val="18"/>
                <w:szCs w:val="18"/>
              </w:rPr>
              <w:t>, aquel proyecto contratado bajo la Ley de Contrataciones del Estado, que cumple con alguno de los siguientes supuestos: (i) El contrato se encuentra vigente, pero sin reportar la ejecución física por un período igual o mayor a seis meses; o, (</w:t>
            </w:r>
            <w:proofErr w:type="spellStart"/>
            <w:r w:rsidRPr="00880E18">
              <w:rPr>
                <w:rFonts w:ascii="Arial" w:hAnsi="Arial" w:cs="Arial"/>
                <w:sz w:val="18"/>
                <w:szCs w:val="18"/>
              </w:rPr>
              <w:t>ii</w:t>
            </w:r>
            <w:proofErr w:type="spellEnd"/>
            <w:r w:rsidRPr="00880E18">
              <w:rPr>
                <w:rFonts w:ascii="Arial" w:hAnsi="Arial" w:cs="Arial"/>
                <w:sz w:val="18"/>
                <w:szCs w:val="18"/>
              </w:rPr>
              <w:t>) Provenga de un contrato resuelto o declarado nulo. La paralización incluye situaciones de controversias, abandono, deficiencias del expediente técnico, causas no previsibles en el expediente técnico u otras situaciones imprevisibles posteriores al perfeccionamiento del contrato que impidan su continuidad, culminación o puesta en funcionamiento. Asimismo, se considera obra pública paralizada por administración directa, aquella que no reporte ejecución física por un período mayor a seis meses.</w:t>
            </w:r>
          </w:p>
          <w:p w14:paraId="55B3B6E8" w14:textId="77777777" w:rsidR="008F100F" w:rsidRPr="00880E18" w:rsidRDefault="008F100F" w:rsidP="00A03572">
            <w:pPr>
              <w:pStyle w:val="Prrafodelista"/>
              <w:numPr>
                <w:ilvl w:val="0"/>
                <w:numId w:val="1"/>
              </w:numPr>
              <w:ind w:left="454"/>
              <w:jc w:val="both"/>
              <w:rPr>
                <w:rFonts w:ascii="Arial" w:hAnsi="Arial" w:cs="Arial"/>
                <w:sz w:val="18"/>
                <w:szCs w:val="18"/>
              </w:rPr>
            </w:pPr>
            <w:r w:rsidRPr="00880E18">
              <w:rPr>
                <w:rFonts w:ascii="Arial" w:hAnsi="Arial" w:cs="Arial"/>
                <w:sz w:val="18"/>
                <w:szCs w:val="18"/>
                <w:u w:val="single"/>
              </w:rPr>
              <w:t>Incumplimiento contractual</w:t>
            </w:r>
            <w:r w:rsidRPr="00880E18">
              <w:rPr>
                <w:rFonts w:ascii="Arial" w:hAnsi="Arial" w:cs="Arial"/>
                <w:sz w:val="18"/>
                <w:szCs w:val="18"/>
              </w:rPr>
              <w:t xml:space="preserve">: comprende la aplicación de penalidad al ejecutor de la obra, no haber asistido a la entrega de terreno de la obra, retraso en la ejecución de las obras, abandono de obras, incumplimiento en la presentación de cronogramas de ejecución, no ejecutar partidas programadas, acumulación de máxima penalidad, resolución de contrato, demora en el trámite de adicional de obra, incapacidad técnica y económica del contratista. </w:t>
            </w:r>
          </w:p>
          <w:p w14:paraId="6A7CD020" w14:textId="77777777" w:rsidR="008F100F" w:rsidRPr="00880E18" w:rsidRDefault="008F100F" w:rsidP="00A03572">
            <w:pPr>
              <w:pStyle w:val="Prrafodelista"/>
              <w:numPr>
                <w:ilvl w:val="0"/>
                <w:numId w:val="1"/>
              </w:numPr>
              <w:ind w:left="454"/>
              <w:jc w:val="both"/>
              <w:rPr>
                <w:rFonts w:ascii="Arial" w:hAnsi="Arial" w:cs="Arial"/>
                <w:sz w:val="18"/>
                <w:szCs w:val="18"/>
              </w:rPr>
            </w:pPr>
            <w:r w:rsidRPr="00880E18">
              <w:rPr>
                <w:rFonts w:ascii="Arial" w:hAnsi="Arial" w:cs="Arial"/>
                <w:sz w:val="18"/>
                <w:szCs w:val="18"/>
                <w:u w:val="single"/>
              </w:rPr>
              <w:t>Deficiencia en el Expediente Técnico</w:t>
            </w:r>
            <w:r w:rsidRPr="00880E18">
              <w:rPr>
                <w:rFonts w:ascii="Arial" w:hAnsi="Arial" w:cs="Arial"/>
                <w:sz w:val="18"/>
                <w:szCs w:val="18"/>
              </w:rPr>
              <w:t>: no contar con disponibilidad de terreno, falta de permisos y rediseño de la PTAR, falta de permisos del ANA y ambientales, problemas de saneamiento físico legal en los terrenos, problemas de diseño de la PTAR, falta de suministro eléctrico, fallas del diseño técnico durante el proceso de ejecución, modificaciones del expediente técnico sin sustento.</w:t>
            </w:r>
          </w:p>
          <w:p w14:paraId="51494067" w14:textId="77777777" w:rsidR="008F100F" w:rsidRPr="00880E18" w:rsidRDefault="008F100F" w:rsidP="00A03572">
            <w:pPr>
              <w:pStyle w:val="Prrafodelista"/>
              <w:numPr>
                <w:ilvl w:val="0"/>
                <w:numId w:val="1"/>
              </w:numPr>
              <w:ind w:left="454"/>
              <w:jc w:val="both"/>
              <w:rPr>
                <w:rFonts w:ascii="Arial" w:hAnsi="Arial" w:cs="Arial"/>
                <w:sz w:val="18"/>
                <w:szCs w:val="18"/>
              </w:rPr>
            </w:pPr>
            <w:r w:rsidRPr="00880E18">
              <w:rPr>
                <w:rFonts w:ascii="Arial" w:hAnsi="Arial" w:cs="Arial"/>
                <w:sz w:val="18"/>
                <w:szCs w:val="18"/>
                <w:u w:val="single"/>
              </w:rPr>
              <w:t>Deficiencia administrativa</w:t>
            </w:r>
            <w:r w:rsidRPr="00880E18">
              <w:rPr>
                <w:rFonts w:ascii="Arial" w:hAnsi="Arial" w:cs="Arial"/>
                <w:sz w:val="18"/>
                <w:szCs w:val="18"/>
              </w:rPr>
              <w:t>: Retraso en la presentación de documentos por parte de la empresa o supervisor, demora en la aprobación de adicionales de obra conforme a los plazos normados, falta o demora en el pago de valorizaciones, así como de valorizaciones adicionales, no contar con presupuesto para la ejecución de adicionales de obra. Proyecto no cuenta con recursos financieros para su culminación, independiente de la entidad competente para su ejecución o que haya efectuado la gestión para obtener financiamiento.</w:t>
            </w:r>
          </w:p>
        </w:tc>
      </w:tr>
      <w:tr w:rsidR="008F100F" w:rsidRPr="00880E18" w14:paraId="24FAFC88" w14:textId="77777777" w:rsidTr="00A035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3"/>
        </w:trPr>
        <w:tc>
          <w:tcPr>
            <w:tcW w:w="8642" w:type="dxa"/>
            <w:gridSpan w:val="5"/>
            <w:tcBorders>
              <w:top w:val="single" w:sz="4" w:space="0" w:color="auto"/>
              <w:left w:val="single" w:sz="4" w:space="0" w:color="auto"/>
              <w:bottom w:val="single" w:sz="4" w:space="0" w:color="auto"/>
              <w:right w:val="single" w:sz="4" w:space="0" w:color="auto"/>
            </w:tcBorders>
            <w:vAlign w:val="center"/>
          </w:tcPr>
          <w:p w14:paraId="4FB9C658" w14:textId="77777777" w:rsidR="008F100F" w:rsidRPr="00880E18" w:rsidRDefault="008F100F" w:rsidP="00A03572">
            <w:pPr>
              <w:rPr>
                <w:rFonts w:ascii="Arial" w:hAnsi="Arial" w:cs="Arial"/>
                <w:sz w:val="18"/>
                <w:szCs w:val="18"/>
              </w:rPr>
            </w:pPr>
            <w:r w:rsidRPr="00880E18">
              <w:rPr>
                <w:rFonts w:ascii="Arial" w:hAnsi="Arial" w:cs="Arial"/>
                <w:b/>
                <w:bCs/>
                <w:sz w:val="18"/>
                <w:szCs w:val="18"/>
              </w:rPr>
              <w:t>Limitaciones del indicador</w:t>
            </w:r>
          </w:p>
        </w:tc>
      </w:tr>
      <w:tr w:rsidR="008F100F" w:rsidRPr="00880E18" w14:paraId="228383DA" w14:textId="77777777" w:rsidTr="00A035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2"/>
        </w:trPr>
        <w:tc>
          <w:tcPr>
            <w:tcW w:w="8642" w:type="dxa"/>
            <w:gridSpan w:val="5"/>
            <w:tcBorders>
              <w:top w:val="single" w:sz="4" w:space="0" w:color="auto"/>
              <w:left w:val="single" w:sz="4" w:space="0" w:color="auto"/>
              <w:bottom w:val="single" w:sz="4" w:space="0" w:color="auto"/>
              <w:right w:val="single" w:sz="4" w:space="0" w:color="auto"/>
            </w:tcBorders>
            <w:vAlign w:val="center"/>
          </w:tcPr>
          <w:p w14:paraId="4BB6C0BA" w14:textId="6609E537" w:rsidR="008F100F" w:rsidRPr="00880E18" w:rsidRDefault="008F100F" w:rsidP="00A03572">
            <w:pPr>
              <w:pStyle w:val="Prrafodelista"/>
              <w:numPr>
                <w:ilvl w:val="0"/>
                <w:numId w:val="2"/>
              </w:numPr>
              <w:ind w:left="447"/>
              <w:rPr>
                <w:rFonts w:ascii="Arial" w:hAnsi="Arial" w:cs="Arial"/>
                <w:sz w:val="18"/>
                <w:szCs w:val="18"/>
              </w:rPr>
            </w:pPr>
            <w:r w:rsidRPr="00880E18">
              <w:rPr>
                <w:rFonts w:ascii="Arial" w:hAnsi="Arial" w:cs="Arial"/>
                <w:sz w:val="18"/>
                <w:szCs w:val="18"/>
              </w:rPr>
              <w:t xml:space="preserve">Las bases de datos se </w:t>
            </w:r>
            <w:r w:rsidR="00685B8D" w:rsidRPr="00880E18">
              <w:rPr>
                <w:rFonts w:ascii="Arial" w:hAnsi="Arial" w:cs="Arial"/>
                <w:sz w:val="18"/>
                <w:szCs w:val="18"/>
              </w:rPr>
              <w:t>actualizan cada 15 días</w:t>
            </w:r>
            <w:r w:rsidRPr="00880E18">
              <w:rPr>
                <w:rFonts w:ascii="Arial" w:hAnsi="Arial" w:cs="Arial"/>
                <w:sz w:val="18"/>
                <w:szCs w:val="18"/>
              </w:rPr>
              <w:t>.</w:t>
            </w:r>
          </w:p>
          <w:p w14:paraId="3D0C78CF" w14:textId="7C04EFD8" w:rsidR="008F100F" w:rsidRPr="00880E18" w:rsidRDefault="003219DD" w:rsidP="003219DD">
            <w:pPr>
              <w:pStyle w:val="Prrafodelista"/>
              <w:numPr>
                <w:ilvl w:val="0"/>
                <w:numId w:val="2"/>
              </w:numPr>
              <w:ind w:left="447"/>
              <w:rPr>
                <w:rFonts w:ascii="Arial" w:hAnsi="Arial" w:cs="Arial"/>
                <w:sz w:val="18"/>
                <w:szCs w:val="18"/>
              </w:rPr>
            </w:pPr>
            <w:r w:rsidRPr="00880E18">
              <w:rPr>
                <w:rFonts w:ascii="Arial" w:hAnsi="Arial" w:cs="Arial"/>
                <w:sz w:val="18"/>
                <w:szCs w:val="18"/>
              </w:rPr>
              <w:t>El indicador solo mide la población de los proyectos que se encuentran en la etapa de ejecución, no considera los proyectos en etapa de post ejecución o de elaboración de expediente técnico.</w:t>
            </w:r>
          </w:p>
        </w:tc>
      </w:tr>
      <w:tr w:rsidR="008F100F" w:rsidRPr="00880E18" w14:paraId="296E2108" w14:textId="77777777" w:rsidTr="00A035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3"/>
        </w:trPr>
        <w:tc>
          <w:tcPr>
            <w:tcW w:w="8642" w:type="dxa"/>
            <w:gridSpan w:val="5"/>
            <w:tcBorders>
              <w:top w:val="single" w:sz="4" w:space="0" w:color="auto"/>
              <w:left w:val="single" w:sz="4" w:space="0" w:color="auto"/>
              <w:bottom w:val="single" w:sz="4" w:space="0" w:color="auto"/>
              <w:right w:val="single" w:sz="4" w:space="0" w:color="auto"/>
            </w:tcBorders>
            <w:vAlign w:val="center"/>
          </w:tcPr>
          <w:p w14:paraId="2A661631" w14:textId="77777777" w:rsidR="008F100F" w:rsidRPr="00880E18" w:rsidRDefault="008F100F" w:rsidP="00A03572">
            <w:pPr>
              <w:rPr>
                <w:rFonts w:ascii="Arial" w:hAnsi="Arial" w:cs="Arial"/>
                <w:sz w:val="18"/>
                <w:szCs w:val="18"/>
              </w:rPr>
            </w:pPr>
            <w:r w:rsidRPr="00880E18">
              <w:rPr>
                <w:rFonts w:ascii="Arial" w:hAnsi="Arial" w:cs="Arial"/>
                <w:b/>
                <w:bCs/>
                <w:sz w:val="18"/>
                <w:szCs w:val="18"/>
              </w:rPr>
              <w:t xml:space="preserve">Supuestos </w:t>
            </w:r>
          </w:p>
        </w:tc>
      </w:tr>
      <w:tr w:rsidR="008F100F" w:rsidRPr="00880E18" w14:paraId="62702E3F" w14:textId="77777777" w:rsidTr="00A035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9"/>
        </w:trPr>
        <w:tc>
          <w:tcPr>
            <w:tcW w:w="8642" w:type="dxa"/>
            <w:gridSpan w:val="5"/>
            <w:tcBorders>
              <w:top w:val="single" w:sz="4" w:space="0" w:color="auto"/>
              <w:left w:val="single" w:sz="4" w:space="0" w:color="auto"/>
              <w:bottom w:val="single" w:sz="4" w:space="0" w:color="auto"/>
              <w:right w:val="single" w:sz="4" w:space="0" w:color="auto"/>
            </w:tcBorders>
            <w:vAlign w:val="center"/>
          </w:tcPr>
          <w:p w14:paraId="00F5F179" w14:textId="77777777" w:rsidR="008F100F" w:rsidRPr="00880E18" w:rsidRDefault="008F100F" w:rsidP="00A03572">
            <w:pPr>
              <w:pStyle w:val="Prrafodelista"/>
              <w:numPr>
                <w:ilvl w:val="0"/>
                <w:numId w:val="2"/>
              </w:numPr>
              <w:ind w:left="447"/>
              <w:jc w:val="both"/>
              <w:rPr>
                <w:rFonts w:ascii="Arial" w:hAnsi="Arial" w:cs="Arial"/>
                <w:sz w:val="18"/>
                <w:szCs w:val="18"/>
              </w:rPr>
            </w:pPr>
            <w:r w:rsidRPr="00880E18">
              <w:rPr>
                <w:rFonts w:ascii="Arial" w:hAnsi="Arial" w:cs="Arial"/>
                <w:sz w:val="18"/>
                <w:szCs w:val="18"/>
              </w:rPr>
              <w:t>La totalidad de proyectos informados como paralizados afectan la ruta crítica del proyecto.</w:t>
            </w:r>
          </w:p>
          <w:p w14:paraId="763D5FF5" w14:textId="77777777" w:rsidR="008F100F" w:rsidRPr="00880E18" w:rsidRDefault="008F100F" w:rsidP="00A03572">
            <w:pPr>
              <w:pStyle w:val="Prrafodelista"/>
              <w:numPr>
                <w:ilvl w:val="0"/>
                <w:numId w:val="2"/>
              </w:numPr>
              <w:ind w:left="447"/>
              <w:jc w:val="both"/>
              <w:rPr>
                <w:rFonts w:ascii="Arial" w:hAnsi="Arial" w:cs="Arial"/>
                <w:sz w:val="18"/>
                <w:szCs w:val="18"/>
              </w:rPr>
            </w:pPr>
            <w:r w:rsidRPr="00880E18">
              <w:rPr>
                <w:rFonts w:ascii="Arial" w:hAnsi="Arial" w:cs="Arial"/>
                <w:sz w:val="18"/>
                <w:szCs w:val="18"/>
              </w:rPr>
              <w:lastRenderedPageBreak/>
              <w:t xml:space="preserve">La totalidad de proyectos independientemente de la modalidad de ejecución, tienen algún contrato incumplido, deficiencia en el expediente técnico y administrativa debidamente identificados. </w:t>
            </w:r>
          </w:p>
          <w:p w14:paraId="2B973244" w14:textId="77777777" w:rsidR="008F100F" w:rsidRPr="00880E18" w:rsidRDefault="008F100F" w:rsidP="00A03572">
            <w:pPr>
              <w:pStyle w:val="Prrafodelista"/>
              <w:numPr>
                <w:ilvl w:val="0"/>
                <w:numId w:val="2"/>
              </w:numPr>
              <w:ind w:left="447"/>
              <w:jc w:val="both"/>
              <w:rPr>
                <w:rFonts w:ascii="Arial" w:hAnsi="Arial" w:cs="Arial"/>
                <w:sz w:val="18"/>
                <w:szCs w:val="18"/>
              </w:rPr>
            </w:pPr>
            <w:r w:rsidRPr="00880E18">
              <w:rPr>
                <w:rFonts w:ascii="Arial" w:hAnsi="Arial" w:cs="Arial"/>
                <w:sz w:val="18"/>
                <w:szCs w:val="18"/>
              </w:rPr>
              <w:t xml:space="preserve">Se mantiene actualizada la base de datos del SSP. </w:t>
            </w:r>
          </w:p>
        </w:tc>
      </w:tr>
      <w:tr w:rsidR="008F100F" w:rsidRPr="00880E18" w14:paraId="3252AE32" w14:textId="77777777" w:rsidTr="00A035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3"/>
        </w:trPr>
        <w:tc>
          <w:tcPr>
            <w:tcW w:w="8642" w:type="dxa"/>
            <w:gridSpan w:val="5"/>
            <w:tcBorders>
              <w:top w:val="single" w:sz="4" w:space="0" w:color="auto"/>
              <w:left w:val="single" w:sz="4" w:space="0" w:color="auto"/>
              <w:bottom w:val="single" w:sz="4" w:space="0" w:color="auto"/>
              <w:right w:val="single" w:sz="4" w:space="0" w:color="auto"/>
            </w:tcBorders>
            <w:vAlign w:val="center"/>
          </w:tcPr>
          <w:p w14:paraId="04AB1509" w14:textId="77777777" w:rsidR="008F100F" w:rsidRPr="00880E18" w:rsidRDefault="008F100F" w:rsidP="00A03572">
            <w:pPr>
              <w:rPr>
                <w:rFonts w:ascii="Arial" w:hAnsi="Arial" w:cs="Arial"/>
                <w:sz w:val="18"/>
                <w:szCs w:val="18"/>
              </w:rPr>
            </w:pPr>
            <w:r w:rsidRPr="00880E18">
              <w:rPr>
                <w:rFonts w:ascii="Arial" w:hAnsi="Arial" w:cs="Arial"/>
                <w:b/>
                <w:bCs/>
                <w:sz w:val="18"/>
                <w:szCs w:val="18"/>
              </w:rPr>
              <w:lastRenderedPageBreak/>
              <w:t>Fuente y base de datos</w:t>
            </w:r>
          </w:p>
        </w:tc>
      </w:tr>
      <w:tr w:rsidR="008F100F" w:rsidRPr="00880E18" w14:paraId="20E10CD9" w14:textId="77777777" w:rsidTr="00A035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8642" w:type="dxa"/>
            <w:gridSpan w:val="5"/>
            <w:tcBorders>
              <w:top w:val="single" w:sz="4" w:space="0" w:color="auto"/>
              <w:left w:val="single" w:sz="4" w:space="0" w:color="auto"/>
              <w:bottom w:val="single" w:sz="4" w:space="0" w:color="auto"/>
              <w:right w:val="single" w:sz="4" w:space="0" w:color="auto"/>
            </w:tcBorders>
            <w:vAlign w:val="center"/>
          </w:tcPr>
          <w:p w14:paraId="28F18949" w14:textId="5B43C338" w:rsidR="008F100F" w:rsidRPr="00880E18" w:rsidRDefault="008F100F" w:rsidP="00A03572">
            <w:pPr>
              <w:rPr>
                <w:rFonts w:ascii="Arial" w:hAnsi="Arial" w:cs="Arial"/>
                <w:sz w:val="18"/>
                <w:szCs w:val="18"/>
              </w:rPr>
            </w:pPr>
            <w:r w:rsidRPr="00880E18">
              <w:rPr>
                <w:rFonts w:ascii="Arial" w:hAnsi="Arial" w:cs="Arial"/>
                <w:sz w:val="18"/>
                <w:szCs w:val="18"/>
              </w:rPr>
              <w:t xml:space="preserve">Sistema de Seguimiento de </w:t>
            </w:r>
            <w:r w:rsidR="00DA0598" w:rsidRPr="00880E18">
              <w:rPr>
                <w:rFonts w:ascii="Arial" w:hAnsi="Arial" w:cs="Arial"/>
                <w:sz w:val="18"/>
                <w:szCs w:val="18"/>
              </w:rPr>
              <w:t>Proyectos del MVCS - SSP MVCS</w:t>
            </w:r>
          </w:p>
          <w:p w14:paraId="25BEB98D" w14:textId="77777777" w:rsidR="008F100F" w:rsidRPr="00880E18" w:rsidRDefault="008F100F" w:rsidP="00A03572">
            <w:pPr>
              <w:rPr>
                <w:rFonts w:ascii="Arial" w:hAnsi="Arial" w:cs="Arial"/>
                <w:sz w:val="18"/>
                <w:szCs w:val="18"/>
              </w:rPr>
            </w:pPr>
            <w:r w:rsidRPr="00880E18">
              <w:rPr>
                <w:rFonts w:ascii="Arial" w:hAnsi="Arial" w:cs="Arial"/>
                <w:sz w:val="18"/>
                <w:szCs w:val="18"/>
              </w:rPr>
              <w:t>Matriz de Obras Paralizadas - OGMEI</w:t>
            </w:r>
          </w:p>
        </w:tc>
      </w:tr>
      <w:bookmarkEnd w:id="0"/>
      <w:bookmarkEnd w:id="1"/>
    </w:tbl>
    <w:p w14:paraId="0FAFF3DE" w14:textId="3E518D77" w:rsidR="004419F9" w:rsidRDefault="004419F9" w:rsidP="004419F9">
      <w:pPr>
        <w:spacing w:after="0"/>
        <w:rPr>
          <w:rFonts w:ascii="Arial" w:hAnsi="Arial" w:cs="Arial"/>
          <w:sz w:val="18"/>
          <w:szCs w:val="20"/>
        </w:rPr>
      </w:pPr>
    </w:p>
    <w:p w14:paraId="59ACD26A" w14:textId="56111196" w:rsidR="006B39EC" w:rsidRDefault="006B39EC" w:rsidP="004419F9">
      <w:pPr>
        <w:spacing w:after="0"/>
        <w:rPr>
          <w:rFonts w:ascii="Arial" w:hAnsi="Arial" w:cs="Arial"/>
          <w:sz w:val="18"/>
          <w:szCs w:val="20"/>
        </w:rPr>
      </w:pPr>
    </w:p>
    <w:p w14:paraId="67DC829A" w14:textId="118B495B" w:rsidR="006B39EC" w:rsidRDefault="006B39EC" w:rsidP="004419F9">
      <w:pPr>
        <w:spacing w:after="0"/>
        <w:rPr>
          <w:rFonts w:ascii="Arial" w:hAnsi="Arial" w:cs="Arial"/>
          <w:sz w:val="18"/>
          <w:szCs w:val="20"/>
        </w:rPr>
      </w:pPr>
    </w:p>
    <w:p w14:paraId="2789E1C1" w14:textId="6FA67DB4" w:rsidR="006B39EC" w:rsidRDefault="006B39EC" w:rsidP="004419F9">
      <w:pPr>
        <w:spacing w:after="0"/>
        <w:rPr>
          <w:rFonts w:ascii="Arial" w:hAnsi="Arial" w:cs="Arial"/>
          <w:sz w:val="18"/>
          <w:szCs w:val="20"/>
        </w:rPr>
      </w:pPr>
    </w:p>
    <w:p w14:paraId="6131655D" w14:textId="3F0A8E1B" w:rsidR="006B39EC" w:rsidRDefault="006B39EC" w:rsidP="004419F9">
      <w:pPr>
        <w:spacing w:after="0"/>
        <w:rPr>
          <w:rFonts w:ascii="Arial" w:hAnsi="Arial" w:cs="Arial"/>
          <w:sz w:val="18"/>
          <w:szCs w:val="20"/>
        </w:rPr>
      </w:pPr>
    </w:p>
    <w:p w14:paraId="12FA7C2D" w14:textId="2E7A8013" w:rsidR="006B39EC" w:rsidRDefault="006B39EC" w:rsidP="004419F9">
      <w:pPr>
        <w:spacing w:after="0"/>
        <w:rPr>
          <w:rFonts w:ascii="Arial" w:hAnsi="Arial" w:cs="Arial"/>
          <w:sz w:val="18"/>
          <w:szCs w:val="20"/>
        </w:rPr>
      </w:pPr>
    </w:p>
    <w:p w14:paraId="2C901572" w14:textId="2E938743" w:rsidR="006B39EC" w:rsidRDefault="006B39EC" w:rsidP="004419F9">
      <w:pPr>
        <w:spacing w:after="0"/>
        <w:rPr>
          <w:rFonts w:ascii="Arial" w:hAnsi="Arial" w:cs="Arial"/>
          <w:sz w:val="18"/>
          <w:szCs w:val="20"/>
        </w:rPr>
      </w:pPr>
    </w:p>
    <w:p w14:paraId="6CB8EECD" w14:textId="0DAE2A08" w:rsidR="006B39EC" w:rsidRDefault="006B39EC" w:rsidP="004419F9">
      <w:pPr>
        <w:spacing w:after="0"/>
        <w:rPr>
          <w:rFonts w:ascii="Arial" w:hAnsi="Arial" w:cs="Arial"/>
          <w:sz w:val="18"/>
          <w:szCs w:val="20"/>
        </w:rPr>
      </w:pPr>
    </w:p>
    <w:p w14:paraId="6D8F3C9C" w14:textId="2B15265B" w:rsidR="006B39EC" w:rsidRDefault="006B39EC" w:rsidP="004419F9">
      <w:pPr>
        <w:spacing w:after="0"/>
        <w:rPr>
          <w:rFonts w:ascii="Arial" w:hAnsi="Arial" w:cs="Arial"/>
          <w:sz w:val="18"/>
          <w:szCs w:val="20"/>
        </w:rPr>
      </w:pPr>
    </w:p>
    <w:p w14:paraId="656D4A4C" w14:textId="2CC82C43" w:rsidR="006B39EC" w:rsidRDefault="006B39EC" w:rsidP="004419F9">
      <w:pPr>
        <w:spacing w:after="0"/>
        <w:rPr>
          <w:rFonts w:ascii="Arial" w:hAnsi="Arial" w:cs="Arial"/>
          <w:sz w:val="18"/>
          <w:szCs w:val="20"/>
        </w:rPr>
      </w:pPr>
    </w:p>
    <w:p w14:paraId="1656DA56" w14:textId="1D02E079" w:rsidR="006B39EC" w:rsidRDefault="006B39EC" w:rsidP="004419F9">
      <w:pPr>
        <w:spacing w:after="0"/>
        <w:rPr>
          <w:rFonts w:ascii="Arial" w:hAnsi="Arial" w:cs="Arial"/>
          <w:sz w:val="18"/>
          <w:szCs w:val="20"/>
        </w:rPr>
      </w:pPr>
    </w:p>
    <w:p w14:paraId="126A4386" w14:textId="11AD1CB0" w:rsidR="006B39EC" w:rsidRDefault="006B39EC" w:rsidP="004419F9">
      <w:pPr>
        <w:spacing w:after="0"/>
        <w:rPr>
          <w:rFonts w:ascii="Arial" w:hAnsi="Arial" w:cs="Arial"/>
          <w:sz w:val="18"/>
          <w:szCs w:val="20"/>
        </w:rPr>
      </w:pPr>
    </w:p>
    <w:p w14:paraId="39323779" w14:textId="5686E4E3" w:rsidR="006B39EC" w:rsidRDefault="006B39EC" w:rsidP="004419F9">
      <w:pPr>
        <w:spacing w:after="0"/>
        <w:rPr>
          <w:rFonts w:ascii="Arial" w:hAnsi="Arial" w:cs="Arial"/>
          <w:sz w:val="18"/>
          <w:szCs w:val="20"/>
        </w:rPr>
      </w:pPr>
    </w:p>
    <w:p w14:paraId="1007C0B1" w14:textId="1478132E" w:rsidR="006B39EC" w:rsidRDefault="006B39EC" w:rsidP="004419F9">
      <w:pPr>
        <w:spacing w:after="0"/>
        <w:rPr>
          <w:rFonts w:ascii="Arial" w:hAnsi="Arial" w:cs="Arial"/>
          <w:sz w:val="18"/>
          <w:szCs w:val="20"/>
        </w:rPr>
      </w:pPr>
    </w:p>
    <w:p w14:paraId="5D848D1F" w14:textId="4126CE0E" w:rsidR="006B39EC" w:rsidRDefault="006B39EC" w:rsidP="004419F9">
      <w:pPr>
        <w:spacing w:after="0"/>
        <w:rPr>
          <w:rFonts w:ascii="Arial" w:hAnsi="Arial" w:cs="Arial"/>
          <w:sz w:val="18"/>
          <w:szCs w:val="20"/>
        </w:rPr>
      </w:pPr>
    </w:p>
    <w:p w14:paraId="08BBC93A" w14:textId="27237D41" w:rsidR="006B39EC" w:rsidRDefault="006B39EC" w:rsidP="004419F9">
      <w:pPr>
        <w:spacing w:after="0"/>
        <w:rPr>
          <w:rFonts w:ascii="Arial" w:hAnsi="Arial" w:cs="Arial"/>
          <w:sz w:val="18"/>
          <w:szCs w:val="20"/>
        </w:rPr>
      </w:pPr>
    </w:p>
    <w:p w14:paraId="1788EF85" w14:textId="7B599109" w:rsidR="006B39EC" w:rsidRDefault="006B39EC" w:rsidP="004419F9">
      <w:pPr>
        <w:spacing w:after="0"/>
        <w:rPr>
          <w:rFonts w:ascii="Arial" w:hAnsi="Arial" w:cs="Arial"/>
          <w:sz w:val="18"/>
          <w:szCs w:val="20"/>
        </w:rPr>
      </w:pPr>
    </w:p>
    <w:p w14:paraId="361E10AA" w14:textId="3A72101E" w:rsidR="006B39EC" w:rsidRDefault="006B39EC" w:rsidP="004419F9">
      <w:pPr>
        <w:spacing w:after="0"/>
        <w:rPr>
          <w:rFonts w:ascii="Arial" w:hAnsi="Arial" w:cs="Arial"/>
          <w:sz w:val="18"/>
          <w:szCs w:val="20"/>
        </w:rPr>
      </w:pPr>
    </w:p>
    <w:p w14:paraId="44E117E1" w14:textId="0A5DE96F" w:rsidR="006B39EC" w:rsidRDefault="006B39EC" w:rsidP="004419F9">
      <w:pPr>
        <w:spacing w:after="0"/>
        <w:rPr>
          <w:rFonts w:ascii="Arial" w:hAnsi="Arial" w:cs="Arial"/>
          <w:sz w:val="18"/>
          <w:szCs w:val="20"/>
        </w:rPr>
      </w:pPr>
    </w:p>
    <w:p w14:paraId="4FD100DE" w14:textId="201B31AC" w:rsidR="006B39EC" w:rsidRDefault="006B39EC" w:rsidP="004419F9">
      <w:pPr>
        <w:spacing w:after="0"/>
        <w:rPr>
          <w:rFonts w:ascii="Arial" w:hAnsi="Arial" w:cs="Arial"/>
          <w:sz w:val="18"/>
          <w:szCs w:val="20"/>
        </w:rPr>
      </w:pPr>
    </w:p>
    <w:p w14:paraId="4E4D51F9" w14:textId="074EAA08" w:rsidR="006B39EC" w:rsidRDefault="006B39EC" w:rsidP="004419F9">
      <w:pPr>
        <w:spacing w:after="0"/>
        <w:rPr>
          <w:rFonts w:ascii="Arial" w:hAnsi="Arial" w:cs="Arial"/>
          <w:sz w:val="18"/>
          <w:szCs w:val="20"/>
        </w:rPr>
      </w:pPr>
    </w:p>
    <w:p w14:paraId="6FDDAFF2" w14:textId="26B3DC37" w:rsidR="006B39EC" w:rsidRDefault="006B39EC" w:rsidP="004419F9">
      <w:pPr>
        <w:spacing w:after="0"/>
        <w:rPr>
          <w:rFonts w:ascii="Arial" w:hAnsi="Arial" w:cs="Arial"/>
          <w:sz w:val="18"/>
          <w:szCs w:val="20"/>
        </w:rPr>
      </w:pPr>
    </w:p>
    <w:p w14:paraId="5D13E2D9" w14:textId="5EF299DD" w:rsidR="006B39EC" w:rsidRDefault="006B39EC" w:rsidP="004419F9">
      <w:pPr>
        <w:spacing w:after="0"/>
        <w:rPr>
          <w:rFonts w:ascii="Arial" w:hAnsi="Arial" w:cs="Arial"/>
          <w:sz w:val="18"/>
          <w:szCs w:val="20"/>
        </w:rPr>
      </w:pPr>
    </w:p>
    <w:p w14:paraId="1C0596DE" w14:textId="1D79857D" w:rsidR="006B39EC" w:rsidRDefault="006B39EC" w:rsidP="004419F9">
      <w:pPr>
        <w:spacing w:after="0"/>
        <w:rPr>
          <w:rFonts w:ascii="Arial" w:hAnsi="Arial" w:cs="Arial"/>
          <w:sz w:val="18"/>
          <w:szCs w:val="20"/>
        </w:rPr>
      </w:pPr>
    </w:p>
    <w:p w14:paraId="5A02C0C9" w14:textId="36AAB796" w:rsidR="006B39EC" w:rsidRDefault="006B39EC" w:rsidP="004419F9">
      <w:pPr>
        <w:spacing w:after="0"/>
        <w:rPr>
          <w:rFonts w:ascii="Arial" w:hAnsi="Arial" w:cs="Arial"/>
          <w:sz w:val="18"/>
          <w:szCs w:val="20"/>
        </w:rPr>
      </w:pPr>
    </w:p>
    <w:p w14:paraId="4E51C3CB" w14:textId="31D11578" w:rsidR="006B39EC" w:rsidRDefault="006B39EC" w:rsidP="004419F9">
      <w:pPr>
        <w:spacing w:after="0"/>
        <w:rPr>
          <w:rFonts w:ascii="Arial" w:hAnsi="Arial" w:cs="Arial"/>
          <w:sz w:val="18"/>
          <w:szCs w:val="20"/>
        </w:rPr>
      </w:pPr>
    </w:p>
    <w:p w14:paraId="3D316473" w14:textId="2AE77109" w:rsidR="006B39EC" w:rsidRDefault="006B39EC" w:rsidP="004419F9">
      <w:pPr>
        <w:spacing w:after="0"/>
        <w:rPr>
          <w:rFonts w:ascii="Arial" w:hAnsi="Arial" w:cs="Arial"/>
          <w:sz w:val="18"/>
          <w:szCs w:val="20"/>
        </w:rPr>
      </w:pPr>
    </w:p>
    <w:p w14:paraId="0BE83745" w14:textId="669D131A" w:rsidR="006B39EC" w:rsidRDefault="006B39EC" w:rsidP="004419F9">
      <w:pPr>
        <w:spacing w:after="0"/>
        <w:rPr>
          <w:rFonts w:ascii="Arial" w:hAnsi="Arial" w:cs="Arial"/>
          <w:sz w:val="18"/>
          <w:szCs w:val="20"/>
        </w:rPr>
      </w:pPr>
    </w:p>
    <w:p w14:paraId="32F2BFC3" w14:textId="25B36439" w:rsidR="006B39EC" w:rsidRDefault="006B39EC" w:rsidP="004419F9">
      <w:pPr>
        <w:spacing w:after="0"/>
        <w:rPr>
          <w:rFonts w:ascii="Arial" w:hAnsi="Arial" w:cs="Arial"/>
          <w:sz w:val="18"/>
          <w:szCs w:val="20"/>
        </w:rPr>
      </w:pPr>
    </w:p>
    <w:p w14:paraId="6E18A403" w14:textId="425907F7" w:rsidR="006B39EC" w:rsidRDefault="006B39EC" w:rsidP="004419F9">
      <w:pPr>
        <w:spacing w:after="0"/>
        <w:rPr>
          <w:rFonts w:ascii="Arial" w:hAnsi="Arial" w:cs="Arial"/>
          <w:sz w:val="18"/>
          <w:szCs w:val="20"/>
        </w:rPr>
      </w:pPr>
    </w:p>
    <w:p w14:paraId="6C9378C0" w14:textId="708C5EC6" w:rsidR="006B39EC" w:rsidRDefault="006B39EC" w:rsidP="004419F9">
      <w:pPr>
        <w:spacing w:after="0"/>
        <w:rPr>
          <w:rFonts w:ascii="Arial" w:hAnsi="Arial" w:cs="Arial"/>
          <w:sz w:val="18"/>
          <w:szCs w:val="20"/>
        </w:rPr>
      </w:pPr>
    </w:p>
    <w:p w14:paraId="541CCA0A" w14:textId="6F7FC210" w:rsidR="006B39EC" w:rsidRDefault="006B39EC" w:rsidP="004419F9">
      <w:pPr>
        <w:spacing w:after="0"/>
        <w:rPr>
          <w:rFonts w:ascii="Arial" w:hAnsi="Arial" w:cs="Arial"/>
          <w:sz w:val="18"/>
          <w:szCs w:val="20"/>
        </w:rPr>
      </w:pPr>
    </w:p>
    <w:p w14:paraId="1344D740" w14:textId="53027A68" w:rsidR="006B39EC" w:rsidRDefault="006B39EC" w:rsidP="004419F9">
      <w:pPr>
        <w:spacing w:after="0"/>
        <w:rPr>
          <w:rFonts w:ascii="Arial" w:hAnsi="Arial" w:cs="Arial"/>
          <w:sz w:val="18"/>
          <w:szCs w:val="20"/>
        </w:rPr>
      </w:pPr>
    </w:p>
    <w:p w14:paraId="211EBE8D" w14:textId="3380E7BD" w:rsidR="006B39EC" w:rsidRDefault="006B39EC" w:rsidP="004419F9">
      <w:pPr>
        <w:spacing w:after="0"/>
        <w:rPr>
          <w:rFonts w:ascii="Arial" w:hAnsi="Arial" w:cs="Arial"/>
          <w:sz w:val="18"/>
          <w:szCs w:val="20"/>
        </w:rPr>
      </w:pPr>
    </w:p>
    <w:p w14:paraId="73470032" w14:textId="05DF6365" w:rsidR="006B39EC" w:rsidRDefault="006B39EC" w:rsidP="004419F9">
      <w:pPr>
        <w:spacing w:after="0"/>
        <w:rPr>
          <w:rFonts w:ascii="Arial" w:hAnsi="Arial" w:cs="Arial"/>
          <w:sz w:val="18"/>
          <w:szCs w:val="20"/>
        </w:rPr>
      </w:pPr>
    </w:p>
    <w:p w14:paraId="65F4DC73" w14:textId="7DBA21E8" w:rsidR="006B39EC" w:rsidRDefault="006B39EC" w:rsidP="004419F9">
      <w:pPr>
        <w:spacing w:after="0"/>
        <w:rPr>
          <w:rFonts w:ascii="Arial" w:hAnsi="Arial" w:cs="Arial"/>
          <w:sz w:val="18"/>
          <w:szCs w:val="20"/>
        </w:rPr>
      </w:pPr>
    </w:p>
    <w:p w14:paraId="68B3C454" w14:textId="537FBEE1" w:rsidR="006B39EC" w:rsidRDefault="006B39EC" w:rsidP="004419F9">
      <w:pPr>
        <w:spacing w:after="0"/>
        <w:rPr>
          <w:rFonts w:ascii="Arial" w:hAnsi="Arial" w:cs="Arial"/>
          <w:sz w:val="18"/>
          <w:szCs w:val="20"/>
        </w:rPr>
      </w:pPr>
    </w:p>
    <w:p w14:paraId="66CA9AF2" w14:textId="05A7349F" w:rsidR="006B39EC" w:rsidRDefault="006B39EC" w:rsidP="004419F9">
      <w:pPr>
        <w:spacing w:after="0"/>
        <w:rPr>
          <w:rFonts w:ascii="Arial" w:hAnsi="Arial" w:cs="Arial"/>
          <w:sz w:val="18"/>
          <w:szCs w:val="20"/>
        </w:rPr>
      </w:pPr>
    </w:p>
    <w:p w14:paraId="7A9A7127" w14:textId="11F3EA9E" w:rsidR="006B39EC" w:rsidRDefault="006B39EC" w:rsidP="004419F9">
      <w:pPr>
        <w:spacing w:after="0"/>
        <w:rPr>
          <w:rFonts w:ascii="Arial" w:hAnsi="Arial" w:cs="Arial"/>
          <w:sz w:val="18"/>
          <w:szCs w:val="20"/>
        </w:rPr>
      </w:pPr>
    </w:p>
    <w:p w14:paraId="557C7634" w14:textId="22CF9BAF" w:rsidR="006B39EC" w:rsidRDefault="006B39EC" w:rsidP="004419F9">
      <w:pPr>
        <w:spacing w:after="0"/>
        <w:rPr>
          <w:rFonts w:ascii="Arial" w:hAnsi="Arial" w:cs="Arial"/>
          <w:sz w:val="18"/>
          <w:szCs w:val="20"/>
        </w:rPr>
      </w:pPr>
    </w:p>
    <w:p w14:paraId="1194468B" w14:textId="0062FE4B" w:rsidR="006B39EC" w:rsidRDefault="006B39EC" w:rsidP="004419F9">
      <w:pPr>
        <w:spacing w:after="0"/>
        <w:rPr>
          <w:rFonts w:ascii="Arial" w:hAnsi="Arial" w:cs="Arial"/>
          <w:sz w:val="18"/>
          <w:szCs w:val="20"/>
        </w:rPr>
      </w:pPr>
    </w:p>
    <w:p w14:paraId="70C234C5" w14:textId="656F6C3E" w:rsidR="006B39EC" w:rsidRDefault="006B39EC" w:rsidP="004419F9">
      <w:pPr>
        <w:spacing w:after="0"/>
        <w:rPr>
          <w:rFonts w:ascii="Arial" w:hAnsi="Arial" w:cs="Arial"/>
          <w:sz w:val="18"/>
          <w:szCs w:val="20"/>
        </w:rPr>
      </w:pPr>
    </w:p>
    <w:p w14:paraId="7E98665A" w14:textId="379B971D" w:rsidR="006B39EC" w:rsidRDefault="006B39EC" w:rsidP="004419F9">
      <w:pPr>
        <w:spacing w:after="0"/>
        <w:rPr>
          <w:rFonts w:ascii="Arial" w:hAnsi="Arial" w:cs="Arial"/>
          <w:sz w:val="18"/>
          <w:szCs w:val="20"/>
        </w:rPr>
      </w:pPr>
    </w:p>
    <w:p w14:paraId="6700F64B" w14:textId="2AF59561" w:rsidR="006B39EC" w:rsidRDefault="006B39EC" w:rsidP="004419F9">
      <w:pPr>
        <w:spacing w:after="0"/>
        <w:rPr>
          <w:rFonts w:ascii="Arial" w:hAnsi="Arial" w:cs="Arial"/>
          <w:sz w:val="18"/>
          <w:szCs w:val="20"/>
        </w:rPr>
      </w:pPr>
    </w:p>
    <w:p w14:paraId="2A7086ED" w14:textId="39F50006" w:rsidR="006B39EC" w:rsidRDefault="006B39EC" w:rsidP="004419F9">
      <w:pPr>
        <w:spacing w:after="0"/>
        <w:rPr>
          <w:rFonts w:ascii="Arial" w:hAnsi="Arial" w:cs="Arial"/>
          <w:sz w:val="18"/>
          <w:szCs w:val="20"/>
        </w:rPr>
      </w:pPr>
    </w:p>
    <w:p w14:paraId="070EBC6D" w14:textId="5B5F57B2" w:rsidR="006B39EC" w:rsidRDefault="006B39EC" w:rsidP="004419F9">
      <w:pPr>
        <w:spacing w:after="0"/>
        <w:rPr>
          <w:rFonts w:ascii="Arial" w:hAnsi="Arial" w:cs="Arial"/>
          <w:sz w:val="18"/>
          <w:szCs w:val="20"/>
        </w:rPr>
      </w:pPr>
    </w:p>
    <w:p w14:paraId="73B4270C" w14:textId="614AD9F7" w:rsidR="006B39EC" w:rsidRDefault="006B39EC" w:rsidP="004419F9">
      <w:pPr>
        <w:spacing w:after="0"/>
        <w:rPr>
          <w:rFonts w:ascii="Arial" w:hAnsi="Arial" w:cs="Arial"/>
          <w:sz w:val="18"/>
          <w:szCs w:val="20"/>
        </w:rPr>
      </w:pPr>
    </w:p>
    <w:p w14:paraId="0F98B412" w14:textId="7040DA1F" w:rsidR="006B39EC" w:rsidRDefault="006B39EC" w:rsidP="004419F9">
      <w:pPr>
        <w:spacing w:after="0"/>
        <w:rPr>
          <w:rFonts w:ascii="Arial" w:hAnsi="Arial" w:cs="Arial"/>
          <w:sz w:val="18"/>
          <w:szCs w:val="20"/>
        </w:rPr>
      </w:pPr>
    </w:p>
    <w:p w14:paraId="02FCD153" w14:textId="37F70C95" w:rsidR="006B39EC" w:rsidRDefault="006B39EC" w:rsidP="004419F9">
      <w:pPr>
        <w:spacing w:after="0"/>
        <w:rPr>
          <w:rFonts w:ascii="Arial" w:hAnsi="Arial" w:cs="Arial"/>
          <w:sz w:val="18"/>
          <w:szCs w:val="20"/>
        </w:rPr>
      </w:pPr>
    </w:p>
    <w:p w14:paraId="1BAA8926" w14:textId="785C3930" w:rsidR="006B39EC" w:rsidRDefault="006B39EC" w:rsidP="004419F9">
      <w:pPr>
        <w:spacing w:after="0"/>
        <w:rPr>
          <w:rFonts w:ascii="Arial" w:hAnsi="Arial" w:cs="Arial"/>
          <w:sz w:val="18"/>
          <w:szCs w:val="20"/>
        </w:rPr>
      </w:pPr>
    </w:p>
    <w:p w14:paraId="050AE419" w14:textId="0DDD37BA" w:rsidR="006B39EC" w:rsidRDefault="006B39EC" w:rsidP="004419F9">
      <w:pPr>
        <w:spacing w:after="0"/>
        <w:rPr>
          <w:rFonts w:ascii="Arial" w:hAnsi="Arial" w:cs="Arial"/>
          <w:sz w:val="18"/>
          <w:szCs w:val="20"/>
        </w:rPr>
      </w:pPr>
    </w:p>
    <w:p w14:paraId="7AAF8739" w14:textId="3AE39FCD" w:rsidR="006B39EC" w:rsidRDefault="006B39EC" w:rsidP="004419F9">
      <w:pPr>
        <w:spacing w:after="0"/>
        <w:rPr>
          <w:rFonts w:ascii="Arial" w:hAnsi="Arial" w:cs="Arial"/>
          <w:sz w:val="18"/>
          <w:szCs w:val="20"/>
        </w:rPr>
      </w:pPr>
    </w:p>
    <w:p w14:paraId="49764C52" w14:textId="5A5ABF41" w:rsidR="006B39EC" w:rsidRDefault="006B39EC" w:rsidP="004419F9">
      <w:pPr>
        <w:spacing w:after="0"/>
        <w:rPr>
          <w:rFonts w:ascii="Arial" w:hAnsi="Arial" w:cs="Arial"/>
          <w:sz w:val="18"/>
          <w:szCs w:val="20"/>
        </w:rPr>
      </w:pPr>
    </w:p>
    <w:p w14:paraId="6667F5CE" w14:textId="3D4DCDD5" w:rsidR="006B39EC" w:rsidRDefault="006B39EC" w:rsidP="004419F9">
      <w:pPr>
        <w:spacing w:after="0"/>
        <w:rPr>
          <w:rFonts w:ascii="Arial" w:hAnsi="Arial" w:cs="Arial"/>
          <w:sz w:val="18"/>
          <w:szCs w:val="20"/>
        </w:rPr>
      </w:pPr>
    </w:p>
    <w:p w14:paraId="6CDE30BA" w14:textId="2300534C" w:rsidR="006B39EC" w:rsidRDefault="006B39EC" w:rsidP="004419F9">
      <w:pPr>
        <w:spacing w:after="0"/>
        <w:rPr>
          <w:rFonts w:ascii="Arial" w:hAnsi="Arial" w:cs="Arial"/>
          <w:sz w:val="18"/>
          <w:szCs w:val="20"/>
        </w:rPr>
      </w:pPr>
    </w:p>
    <w:p w14:paraId="5E884AAC" w14:textId="2DA58DF0" w:rsidR="006B39EC" w:rsidRDefault="006B39EC" w:rsidP="004419F9">
      <w:pPr>
        <w:spacing w:after="0"/>
        <w:rPr>
          <w:rFonts w:ascii="Arial" w:hAnsi="Arial" w:cs="Arial"/>
          <w:sz w:val="18"/>
          <w:szCs w:val="20"/>
        </w:rPr>
      </w:pPr>
    </w:p>
    <w:p w14:paraId="434307C7" w14:textId="77777777" w:rsidR="006B39EC" w:rsidRDefault="006B39EC" w:rsidP="004419F9">
      <w:pPr>
        <w:spacing w:after="0"/>
        <w:rPr>
          <w:rFonts w:ascii="Arial" w:hAnsi="Arial" w:cs="Arial"/>
          <w:sz w:val="18"/>
          <w:szCs w:val="20"/>
        </w:rPr>
      </w:pPr>
    </w:p>
    <w:p w14:paraId="30B3ED18" w14:textId="77777777" w:rsidR="00591775" w:rsidRDefault="00591775" w:rsidP="004419F9">
      <w:pPr>
        <w:spacing w:after="0"/>
        <w:rPr>
          <w:rFonts w:ascii="Arial" w:hAnsi="Arial" w:cs="Arial"/>
          <w:sz w:val="18"/>
          <w:szCs w:val="20"/>
        </w:rPr>
      </w:pPr>
    </w:p>
    <w:tbl>
      <w:tblPr>
        <w:tblStyle w:val="Tablaconcuadrcula"/>
        <w:tblpPr w:leftFromText="141" w:rightFromText="141" w:vertAnchor="text" w:tblpY="1"/>
        <w:tblOverlap w:val="never"/>
        <w:tblW w:w="8642" w:type="dxa"/>
        <w:tblLook w:val="04A0" w:firstRow="1" w:lastRow="0" w:firstColumn="1" w:lastColumn="0" w:noHBand="0" w:noVBand="1"/>
      </w:tblPr>
      <w:tblGrid>
        <w:gridCol w:w="1440"/>
        <w:gridCol w:w="1126"/>
        <w:gridCol w:w="1457"/>
        <w:gridCol w:w="2711"/>
        <w:gridCol w:w="1908"/>
      </w:tblGrid>
      <w:tr w:rsidR="006C7780" w:rsidRPr="00591775" w14:paraId="1EE99D91" w14:textId="77777777" w:rsidTr="00591775">
        <w:trPr>
          <w:trHeight w:val="545"/>
        </w:trPr>
        <w:tc>
          <w:tcPr>
            <w:tcW w:w="8642" w:type="dxa"/>
            <w:gridSpan w:val="5"/>
          </w:tcPr>
          <w:p w14:paraId="62D2764E" w14:textId="77777777" w:rsidR="006C7780" w:rsidRPr="00591775" w:rsidRDefault="006C7780" w:rsidP="00591775">
            <w:pPr>
              <w:spacing w:line="276" w:lineRule="auto"/>
              <w:jc w:val="center"/>
              <w:rPr>
                <w:rFonts w:ascii="Arial" w:hAnsi="Arial"/>
                <w:b/>
                <w:snapToGrid w:val="0"/>
                <w:sz w:val="18"/>
                <w:szCs w:val="18"/>
              </w:rPr>
            </w:pPr>
            <w:r w:rsidRPr="00591775">
              <w:rPr>
                <w:rFonts w:ascii="Arial" w:hAnsi="Arial"/>
                <w:b/>
                <w:snapToGrid w:val="0"/>
                <w:sz w:val="18"/>
                <w:szCs w:val="18"/>
              </w:rPr>
              <w:lastRenderedPageBreak/>
              <w:t>FICHA TÉCNICA DE INDICADOR DE GESTIÓN</w:t>
            </w:r>
          </w:p>
          <w:p w14:paraId="3F118A0B" w14:textId="77777777" w:rsidR="006C7780" w:rsidRPr="00591775" w:rsidRDefault="006C7780" w:rsidP="00591775">
            <w:pPr>
              <w:spacing w:line="276" w:lineRule="auto"/>
              <w:jc w:val="center"/>
              <w:rPr>
                <w:rFonts w:ascii="Arial" w:hAnsi="Arial"/>
                <w:b/>
                <w:snapToGrid w:val="0"/>
                <w:sz w:val="18"/>
                <w:szCs w:val="18"/>
              </w:rPr>
            </w:pPr>
            <w:r w:rsidRPr="00591775">
              <w:rPr>
                <w:rFonts w:ascii="Arial" w:hAnsi="Arial"/>
                <w:b/>
                <w:snapToGrid w:val="0"/>
                <w:sz w:val="18"/>
                <w:szCs w:val="18"/>
              </w:rPr>
              <w:t>MINISTERIO DE VIVIENDA, CONSTRUCCIÓN Y SANEAMIENTO</w:t>
            </w:r>
          </w:p>
        </w:tc>
      </w:tr>
      <w:tr w:rsidR="006C7780" w:rsidRPr="00591775" w14:paraId="76BC0820" w14:textId="77777777" w:rsidTr="00591775">
        <w:trPr>
          <w:trHeight w:val="229"/>
        </w:trPr>
        <w:tc>
          <w:tcPr>
            <w:tcW w:w="8642" w:type="dxa"/>
            <w:gridSpan w:val="5"/>
          </w:tcPr>
          <w:p w14:paraId="034E87CA" w14:textId="77777777" w:rsidR="006C7780" w:rsidRPr="00591775" w:rsidRDefault="006C7780" w:rsidP="00591775">
            <w:pPr>
              <w:jc w:val="center"/>
              <w:rPr>
                <w:rFonts w:ascii="Arial" w:hAnsi="Arial" w:cs="Arial"/>
                <w:b/>
                <w:bCs/>
                <w:sz w:val="18"/>
                <w:szCs w:val="18"/>
              </w:rPr>
            </w:pPr>
            <w:r w:rsidRPr="00591775">
              <w:rPr>
                <w:rFonts w:ascii="Arial" w:hAnsi="Arial" w:cs="Arial"/>
                <w:b/>
                <w:bCs/>
                <w:sz w:val="18"/>
                <w:szCs w:val="18"/>
              </w:rPr>
              <w:t>Nombre del Indicador</w:t>
            </w:r>
          </w:p>
        </w:tc>
      </w:tr>
      <w:tr w:rsidR="006C7780" w:rsidRPr="00591775" w14:paraId="191EAB62" w14:textId="77777777" w:rsidTr="00591775">
        <w:trPr>
          <w:trHeight w:val="558"/>
        </w:trPr>
        <w:tc>
          <w:tcPr>
            <w:tcW w:w="8642" w:type="dxa"/>
            <w:gridSpan w:val="5"/>
            <w:vAlign w:val="center"/>
          </w:tcPr>
          <w:p w14:paraId="2690B93A" w14:textId="77777777" w:rsidR="006C7780" w:rsidRPr="00591775" w:rsidRDefault="006C7780" w:rsidP="00591775">
            <w:pPr>
              <w:ind w:right="-106"/>
              <w:jc w:val="center"/>
              <w:rPr>
                <w:rFonts w:ascii="Arial" w:hAnsi="Arial" w:cs="Arial"/>
                <w:sz w:val="18"/>
                <w:szCs w:val="18"/>
              </w:rPr>
            </w:pPr>
            <w:r w:rsidRPr="00591775">
              <w:rPr>
                <w:rFonts w:ascii="Arial" w:hAnsi="Arial" w:cs="Arial"/>
                <w:sz w:val="18"/>
                <w:szCs w:val="18"/>
              </w:rPr>
              <w:t>Porcentaje de población que accede a servicios de agua potable y saneamiento por proyectos reactivados</w:t>
            </w:r>
          </w:p>
        </w:tc>
      </w:tr>
      <w:tr w:rsidR="006C7780" w:rsidRPr="00591775" w14:paraId="1C281F55" w14:textId="77777777" w:rsidTr="00591775">
        <w:trPr>
          <w:trHeight w:val="258"/>
        </w:trPr>
        <w:tc>
          <w:tcPr>
            <w:tcW w:w="1440" w:type="dxa"/>
            <w:vAlign w:val="center"/>
          </w:tcPr>
          <w:p w14:paraId="48A182C0" w14:textId="77777777" w:rsidR="006C7780" w:rsidRPr="00591775" w:rsidRDefault="006C7780" w:rsidP="00591775">
            <w:pPr>
              <w:jc w:val="center"/>
              <w:rPr>
                <w:rFonts w:ascii="Arial" w:hAnsi="Arial" w:cs="Arial"/>
                <w:sz w:val="18"/>
                <w:szCs w:val="18"/>
              </w:rPr>
            </w:pPr>
            <w:r w:rsidRPr="00591775">
              <w:rPr>
                <w:rFonts w:ascii="Arial" w:hAnsi="Arial" w:cs="Arial"/>
                <w:b/>
                <w:bCs/>
                <w:sz w:val="18"/>
                <w:szCs w:val="18"/>
              </w:rPr>
              <w:t>Unidad de Medida</w:t>
            </w:r>
          </w:p>
        </w:tc>
        <w:tc>
          <w:tcPr>
            <w:tcW w:w="1126" w:type="dxa"/>
            <w:vAlign w:val="center"/>
          </w:tcPr>
          <w:p w14:paraId="7721E9C5" w14:textId="77777777" w:rsidR="006C7780" w:rsidRPr="00591775" w:rsidRDefault="006C7780" w:rsidP="00591775">
            <w:pPr>
              <w:jc w:val="center"/>
              <w:rPr>
                <w:rFonts w:ascii="Arial" w:hAnsi="Arial" w:cs="Arial"/>
                <w:b/>
                <w:sz w:val="18"/>
                <w:szCs w:val="18"/>
              </w:rPr>
            </w:pPr>
            <w:r w:rsidRPr="00591775">
              <w:rPr>
                <w:rFonts w:ascii="Arial" w:hAnsi="Arial" w:cs="Arial"/>
                <w:b/>
                <w:sz w:val="18"/>
                <w:szCs w:val="18"/>
              </w:rPr>
              <w:t>Ámbito</w:t>
            </w:r>
          </w:p>
        </w:tc>
        <w:tc>
          <w:tcPr>
            <w:tcW w:w="1457" w:type="dxa"/>
            <w:vAlign w:val="center"/>
          </w:tcPr>
          <w:p w14:paraId="6B122B97" w14:textId="77777777" w:rsidR="006C7780" w:rsidRPr="00591775" w:rsidRDefault="006C7780" w:rsidP="00591775">
            <w:pPr>
              <w:jc w:val="center"/>
              <w:rPr>
                <w:rFonts w:ascii="Arial" w:hAnsi="Arial" w:cs="Arial"/>
                <w:sz w:val="18"/>
                <w:szCs w:val="18"/>
              </w:rPr>
            </w:pPr>
            <w:r w:rsidRPr="00591775">
              <w:rPr>
                <w:rFonts w:ascii="Arial" w:hAnsi="Arial" w:cs="Arial"/>
                <w:b/>
                <w:sz w:val="18"/>
                <w:szCs w:val="18"/>
              </w:rPr>
              <w:t>Frecuencia</w:t>
            </w:r>
          </w:p>
        </w:tc>
        <w:tc>
          <w:tcPr>
            <w:tcW w:w="2711" w:type="dxa"/>
            <w:vAlign w:val="center"/>
          </w:tcPr>
          <w:p w14:paraId="331F37F7" w14:textId="77777777" w:rsidR="006C7780" w:rsidRPr="00591775" w:rsidRDefault="006C7780" w:rsidP="00591775">
            <w:pPr>
              <w:jc w:val="center"/>
              <w:rPr>
                <w:rFonts w:ascii="Arial" w:hAnsi="Arial" w:cs="Arial"/>
                <w:sz w:val="18"/>
                <w:szCs w:val="18"/>
              </w:rPr>
            </w:pPr>
            <w:r w:rsidRPr="00591775">
              <w:rPr>
                <w:rFonts w:ascii="Arial" w:hAnsi="Arial" w:cs="Arial"/>
                <w:b/>
                <w:sz w:val="18"/>
                <w:szCs w:val="18"/>
              </w:rPr>
              <w:t>Responsable de la información</w:t>
            </w:r>
          </w:p>
        </w:tc>
        <w:tc>
          <w:tcPr>
            <w:tcW w:w="1908" w:type="dxa"/>
            <w:vAlign w:val="center"/>
          </w:tcPr>
          <w:p w14:paraId="4FB2DF2A" w14:textId="77777777" w:rsidR="006C7780" w:rsidRPr="00591775" w:rsidRDefault="006C7780" w:rsidP="00591775">
            <w:pPr>
              <w:jc w:val="center"/>
              <w:rPr>
                <w:rFonts w:ascii="Arial" w:hAnsi="Arial" w:cs="Arial"/>
                <w:b/>
                <w:sz w:val="18"/>
                <w:szCs w:val="18"/>
              </w:rPr>
            </w:pPr>
            <w:r w:rsidRPr="00591775">
              <w:rPr>
                <w:rFonts w:ascii="Arial" w:hAnsi="Arial" w:cs="Arial"/>
                <w:b/>
                <w:sz w:val="18"/>
                <w:szCs w:val="18"/>
              </w:rPr>
              <w:t>Responsable del cálculo</w:t>
            </w:r>
          </w:p>
        </w:tc>
      </w:tr>
      <w:tr w:rsidR="006C7780" w:rsidRPr="00591775" w14:paraId="0CDA305C" w14:textId="77777777" w:rsidTr="00591775">
        <w:trPr>
          <w:trHeight w:val="430"/>
        </w:trPr>
        <w:tc>
          <w:tcPr>
            <w:tcW w:w="1440" w:type="dxa"/>
            <w:vAlign w:val="center"/>
          </w:tcPr>
          <w:p w14:paraId="4A46C7E2" w14:textId="77777777" w:rsidR="006C7780" w:rsidRPr="00591775" w:rsidRDefault="006C7780" w:rsidP="00591775">
            <w:pPr>
              <w:jc w:val="center"/>
              <w:rPr>
                <w:rFonts w:ascii="Arial" w:hAnsi="Arial" w:cs="Arial"/>
                <w:sz w:val="18"/>
                <w:szCs w:val="18"/>
              </w:rPr>
            </w:pPr>
            <w:r w:rsidRPr="00591775">
              <w:rPr>
                <w:rFonts w:ascii="Arial" w:hAnsi="Arial" w:cs="Arial"/>
                <w:sz w:val="18"/>
                <w:szCs w:val="18"/>
              </w:rPr>
              <w:t>Porcentaje</w:t>
            </w:r>
          </w:p>
        </w:tc>
        <w:tc>
          <w:tcPr>
            <w:tcW w:w="1126" w:type="dxa"/>
            <w:vAlign w:val="center"/>
          </w:tcPr>
          <w:p w14:paraId="186F184C" w14:textId="77777777" w:rsidR="006C7780" w:rsidRPr="00591775" w:rsidRDefault="006C7780" w:rsidP="00591775">
            <w:pPr>
              <w:pStyle w:val="Sinespaciado"/>
              <w:jc w:val="center"/>
              <w:rPr>
                <w:sz w:val="18"/>
                <w:szCs w:val="18"/>
              </w:rPr>
            </w:pPr>
            <w:r w:rsidRPr="00591775">
              <w:rPr>
                <w:rFonts w:ascii="Arial" w:hAnsi="Arial" w:cs="Arial"/>
                <w:sz w:val="18"/>
                <w:szCs w:val="18"/>
              </w:rPr>
              <w:t>Urbano y Rural</w:t>
            </w:r>
          </w:p>
        </w:tc>
        <w:tc>
          <w:tcPr>
            <w:tcW w:w="1457" w:type="dxa"/>
            <w:vAlign w:val="center"/>
          </w:tcPr>
          <w:p w14:paraId="7903E45D" w14:textId="77777777" w:rsidR="006C7780" w:rsidRPr="00591775" w:rsidRDefault="006C7780" w:rsidP="00591775">
            <w:pPr>
              <w:jc w:val="center"/>
              <w:rPr>
                <w:rFonts w:ascii="Arial" w:hAnsi="Arial" w:cs="Arial"/>
                <w:sz w:val="18"/>
                <w:szCs w:val="18"/>
              </w:rPr>
            </w:pPr>
            <w:r w:rsidRPr="00591775">
              <w:rPr>
                <w:rFonts w:ascii="Arial" w:hAnsi="Arial" w:cs="Arial"/>
                <w:sz w:val="18"/>
                <w:szCs w:val="18"/>
              </w:rPr>
              <w:t>Mensual</w:t>
            </w:r>
          </w:p>
        </w:tc>
        <w:tc>
          <w:tcPr>
            <w:tcW w:w="2711" w:type="dxa"/>
            <w:vAlign w:val="center"/>
          </w:tcPr>
          <w:p w14:paraId="255CABF0" w14:textId="77777777" w:rsidR="006C7780" w:rsidRPr="00591775" w:rsidRDefault="006C7780" w:rsidP="00591775">
            <w:pPr>
              <w:jc w:val="center"/>
              <w:rPr>
                <w:rFonts w:ascii="Arial" w:hAnsi="Arial" w:cs="Arial"/>
                <w:sz w:val="18"/>
                <w:szCs w:val="18"/>
              </w:rPr>
            </w:pPr>
            <w:r w:rsidRPr="00591775">
              <w:rPr>
                <w:rFonts w:ascii="Arial" w:hAnsi="Arial" w:cs="Arial"/>
                <w:sz w:val="18"/>
                <w:szCs w:val="18"/>
              </w:rPr>
              <w:t>PNSR, PNSU, PASLC</w:t>
            </w:r>
          </w:p>
        </w:tc>
        <w:tc>
          <w:tcPr>
            <w:tcW w:w="1908" w:type="dxa"/>
            <w:vAlign w:val="center"/>
          </w:tcPr>
          <w:p w14:paraId="6F3CDC3E" w14:textId="77777777" w:rsidR="006C7780" w:rsidRPr="00591775" w:rsidRDefault="006C7780" w:rsidP="00591775">
            <w:pPr>
              <w:jc w:val="center"/>
              <w:rPr>
                <w:rFonts w:ascii="Arial" w:hAnsi="Arial" w:cs="Arial"/>
                <w:sz w:val="18"/>
                <w:szCs w:val="18"/>
              </w:rPr>
            </w:pPr>
            <w:r w:rsidRPr="00591775">
              <w:rPr>
                <w:rFonts w:ascii="Arial" w:hAnsi="Arial" w:cs="Arial"/>
                <w:sz w:val="18"/>
                <w:szCs w:val="18"/>
              </w:rPr>
              <w:t>OGMEI</w:t>
            </w:r>
          </w:p>
        </w:tc>
      </w:tr>
      <w:tr w:rsidR="00F244A5" w:rsidRPr="00591775" w14:paraId="5454E6F3" w14:textId="77777777" w:rsidTr="005917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1"/>
        </w:trPr>
        <w:tc>
          <w:tcPr>
            <w:tcW w:w="8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C2B4DCF" w14:textId="77777777" w:rsidR="004419F9" w:rsidRPr="00591775" w:rsidRDefault="004419F9" w:rsidP="00591775">
            <w:pPr>
              <w:rPr>
                <w:rFonts w:ascii="Arial" w:hAnsi="Arial" w:cs="Arial"/>
                <w:b/>
                <w:sz w:val="18"/>
                <w:szCs w:val="18"/>
              </w:rPr>
            </w:pPr>
            <w:r w:rsidRPr="00591775">
              <w:rPr>
                <w:rFonts w:ascii="Arial" w:hAnsi="Arial" w:cs="Arial"/>
                <w:b/>
                <w:bCs/>
                <w:sz w:val="18"/>
                <w:szCs w:val="18"/>
              </w:rPr>
              <w:t>Definición</w:t>
            </w:r>
          </w:p>
        </w:tc>
      </w:tr>
      <w:tr w:rsidR="00F244A5" w:rsidRPr="00591775" w14:paraId="4A299EB5" w14:textId="77777777" w:rsidTr="005917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4"/>
        </w:trPr>
        <w:tc>
          <w:tcPr>
            <w:tcW w:w="8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82CCFB8" w14:textId="5D234EC8" w:rsidR="004419F9" w:rsidRPr="00591775" w:rsidRDefault="004419F9" w:rsidP="00591775">
            <w:pPr>
              <w:jc w:val="both"/>
              <w:rPr>
                <w:rFonts w:ascii="Arial" w:hAnsi="Arial" w:cs="Arial"/>
                <w:b/>
                <w:sz w:val="18"/>
                <w:szCs w:val="18"/>
              </w:rPr>
            </w:pPr>
            <w:r w:rsidRPr="00591775">
              <w:rPr>
                <w:rFonts w:ascii="Arial" w:hAnsi="Arial" w:cs="Arial"/>
                <w:sz w:val="18"/>
                <w:szCs w:val="18"/>
              </w:rPr>
              <w:t xml:space="preserve">El indicador de resultado mide el porcentaje </w:t>
            </w:r>
            <w:r w:rsidR="00685B8D" w:rsidRPr="00591775">
              <w:rPr>
                <w:rFonts w:ascii="Arial" w:hAnsi="Arial" w:cs="Arial"/>
                <w:sz w:val="18"/>
                <w:szCs w:val="18"/>
              </w:rPr>
              <w:t xml:space="preserve">de población </w:t>
            </w:r>
            <w:r w:rsidR="0067775D" w:rsidRPr="00591775">
              <w:rPr>
                <w:rFonts w:ascii="Arial" w:hAnsi="Arial" w:cs="Arial"/>
                <w:sz w:val="18"/>
                <w:szCs w:val="18"/>
              </w:rPr>
              <w:t xml:space="preserve">beneficiada </w:t>
            </w:r>
            <w:r w:rsidR="00B12FD6" w:rsidRPr="00591775">
              <w:rPr>
                <w:rFonts w:ascii="Arial" w:hAnsi="Arial" w:cs="Arial"/>
                <w:sz w:val="18"/>
                <w:szCs w:val="18"/>
              </w:rPr>
              <w:t xml:space="preserve">por proyectos </w:t>
            </w:r>
            <w:r w:rsidRPr="00591775">
              <w:rPr>
                <w:rFonts w:ascii="Arial" w:hAnsi="Arial" w:cs="Arial"/>
                <w:sz w:val="18"/>
                <w:szCs w:val="18"/>
              </w:rPr>
              <w:t>de agua potable</w:t>
            </w:r>
            <w:r w:rsidR="00617328" w:rsidRPr="00591775">
              <w:rPr>
                <w:rFonts w:ascii="Arial" w:hAnsi="Arial" w:cs="Arial"/>
                <w:sz w:val="18"/>
                <w:szCs w:val="18"/>
              </w:rPr>
              <w:t xml:space="preserve"> y saneamiento</w:t>
            </w:r>
            <w:r w:rsidRPr="00591775">
              <w:rPr>
                <w:rFonts w:ascii="Arial" w:hAnsi="Arial" w:cs="Arial"/>
                <w:sz w:val="18"/>
                <w:szCs w:val="18"/>
              </w:rPr>
              <w:t xml:space="preserve"> reactivados, </w:t>
            </w:r>
            <w:r w:rsidR="00B12FD6" w:rsidRPr="00591775">
              <w:rPr>
                <w:rFonts w:ascii="Arial" w:hAnsi="Arial" w:cs="Arial"/>
                <w:sz w:val="18"/>
                <w:szCs w:val="18"/>
              </w:rPr>
              <w:t>en</w:t>
            </w:r>
            <w:r w:rsidRPr="00591775">
              <w:rPr>
                <w:rFonts w:ascii="Arial" w:hAnsi="Arial" w:cs="Arial"/>
                <w:sz w:val="18"/>
                <w:szCs w:val="18"/>
              </w:rPr>
              <w:t xml:space="preserve"> relación a la población beneficiaria de la totalidad de proyectos paralizados por ámbito geográfico</w:t>
            </w:r>
            <w:r w:rsidR="008D3F3B" w:rsidRPr="00591775">
              <w:rPr>
                <w:rFonts w:ascii="Arial" w:hAnsi="Arial" w:cs="Arial"/>
                <w:sz w:val="18"/>
                <w:szCs w:val="18"/>
              </w:rPr>
              <w:t xml:space="preserve"> (urbano y rural)</w:t>
            </w:r>
            <w:r w:rsidRPr="00591775">
              <w:rPr>
                <w:rFonts w:ascii="Arial" w:hAnsi="Arial" w:cs="Arial"/>
                <w:sz w:val="18"/>
                <w:szCs w:val="18"/>
              </w:rPr>
              <w:t>.</w:t>
            </w:r>
          </w:p>
        </w:tc>
      </w:tr>
      <w:tr w:rsidR="00F244A5" w:rsidRPr="00591775" w14:paraId="4064BFB3" w14:textId="77777777" w:rsidTr="005917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1"/>
        </w:trPr>
        <w:tc>
          <w:tcPr>
            <w:tcW w:w="8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BA6FEE" w14:textId="77777777" w:rsidR="004419F9" w:rsidRPr="00591775" w:rsidRDefault="004419F9" w:rsidP="00591775">
            <w:pPr>
              <w:rPr>
                <w:rFonts w:ascii="Arial" w:hAnsi="Arial" w:cs="Arial"/>
                <w:b/>
                <w:sz w:val="18"/>
                <w:szCs w:val="18"/>
              </w:rPr>
            </w:pPr>
            <w:r w:rsidRPr="00591775">
              <w:rPr>
                <w:rFonts w:ascii="Arial" w:hAnsi="Arial" w:cs="Arial"/>
                <w:b/>
                <w:bCs/>
                <w:sz w:val="18"/>
                <w:szCs w:val="18"/>
              </w:rPr>
              <w:t>Justificación</w:t>
            </w:r>
          </w:p>
        </w:tc>
      </w:tr>
      <w:tr w:rsidR="00F244A5" w:rsidRPr="00591775" w14:paraId="4AC425C6" w14:textId="77777777" w:rsidTr="005917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1"/>
        </w:trPr>
        <w:tc>
          <w:tcPr>
            <w:tcW w:w="8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41AFF61" w14:textId="30BC167F" w:rsidR="004419F9" w:rsidRPr="00591775" w:rsidRDefault="004419F9" w:rsidP="00591775">
            <w:pPr>
              <w:jc w:val="both"/>
              <w:rPr>
                <w:rFonts w:ascii="Arial" w:hAnsi="Arial" w:cs="Arial"/>
                <w:sz w:val="18"/>
                <w:szCs w:val="18"/>
              </w:rPr>
            </w:pPr>
            <w:r w:rsidRPr="00591775">
              <w:rPr>
                <w:rFonts w:ascii="Arial" w:hAnsi="Arial" w:cs="Arial"/>
                <w:sz w:val="18"/>
                <w:szCs w:val="18"/>
              </w:rPr>
              <w:t>El sector cuenta con una importante cantidad de proyectos que se encuentran paralizados, los cuales afecta</w:t>
            </w:r>
            <w:r w:rsidR="00591775" w:rsidRPr="00591775">
              <w:rPr>
                <w:rFonts w:ascii="Arial" w:hAnsi="Arial" w:cs="Arial"/>
                <w:sz w:val="18"/>
                <w:szCs w:val="18"/>
              </w:rPr>
              <w:t>n</w:t>
            </w:r>
            <w:r w:rsidRPr="00591775">
              <w:rPr>
                <w:rFonts w:ascii="Arial" w:hAnsi="Arial" w:cs="Arial"/>
                <w:sz w:val="18"/>
                <w:szCs w:val="18"/>
              </w:rPr>
              <w:t xml:space="preserve"> a la población urbana y rural que no accede a los servicios de agua potable</w:t>
            </w:r>
            <w:r w:rsidR="00617328" w:rsidRPr="00591775">
              <w:rPr>
                <w:rFonts w:ascii="Arial" w:hAnsi="Arial" w:cs="Arial"/>
                <w:sz w:val="18"/>
                <w:szCs w:val="18"/>
              </w:rPr>
              <w:t xml:space="preserve"> y saneamiento</w:t>
            </w:r>
            <w:r w:rsidRPr="00591775">
              <w:rPr>
                <w:rFonts w:ascii="Arial" w:hAnsi="Arial" w:cs="Arial"/>
                <w:sz w:val="18"/>
                <w:szCs w:val="18"/>
              </w:rPr>
              <w:t>; por lo que, el presente indicador permitirá determinar qué cantidad de población se beneficia con el acceso a los sistemas de agua potable que provienen de proyectos reactivados.</w:t>
            </w:r>
          </w:p>
        </w:tc>
      </w:tr>
      <w:tr w:rsidR="00F244A5" w:rsidRPr="00591775" w14:paraId="2FABCE85" w14:textId="77777777" w:rsidTr="005917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1"/>
        </w:trPr>
        <w:tc>
          <w:tcPr>
            <w:tcW w:w="8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2E2538B" w14:textId="77777777" w:rsidR="004419F9" w:rsidRPr="00591775" w:rsidRDefault="004419F9" w:rsidP="00591775">
            <w:pPr>
              <w:rPr>
                <w:rFonts w:ascii="Arial" w:hAnsi="Arial" w:cs="Arial"/>
                <w:b/>
                <w:sz w:val="18"/>
                <w:szCs w:val="18"/>
              </w:rPr>
            </w:pPr>
            <w:r w:rsidRPr="00591775">
              <w:rPr>
                <w:rFonts w:ascii="Arial" w:hAnsi="Arial" w:cs="Arial"/>
                <w:b/>
                <w:sz w:val="18"/>
                <w:szCs w:val="18"/>
              </w:rPr>
              <w:t>Método de Cálculo</w:t>
            </w:r>
          </w:p>
        </w:tc>
      </w:tr>
      <w:tr w:rsidR="00F244A5" w:rsidRPr="00591775" w14:paraId="1FBAC654" w14:textId="77777777" w:rsidTr="005917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
        </w:trPr>
        <w:tc>
          <w:tcPr>
            <w:tcW w:w="8642" w:type="dxa"/>
            <w:gridSpan w:val="5"/>
            <w:tcBorders>
              <w:top w:val="single" w:sz="4" w:space="0" w:color="auto"/>
              <w:left w:val="single" w:sz="4" w:space="0" w:color="auto"/>
              <w:bottom w:val="single" w:sz="4" w:space="0" w:color="auto"/>
              <w:right w:val="single" w:sz="4" w:space="0" w:color="auto"/>
            </w:tcBorders>
            <w:vAlign w:val="center"/>
          </w:tcPr>
          <w:p w14:paraId="6D1E81AE" w14:textId="77777777" w:rsidR="004419F9" w:rsidRPr="00591775" w:rsidRDefault="004419F9" w:rsidP="00591775">
            <w:pPr>
              <w:rPr>
                <w:rFonts w:ascii="Arial" w:hAnsi="Arial" w:cs="Arial"/>
                <w:sz w:val="18"/>
                <w:szCs w:val="18"/>
              </w:rPr>
            </w:pPr>
          </w:p>
          <w:p w14:paraId="4661E759" w14:textId="553FC167" w:rsidR="004419F9" w:rsidRPr="00591775" w:rsidRDefault="004419F9" w:rsidP="00591775">
            <w:pPr>
              <w:rPr>
                <w:rFonts w:ascii="Arial" w:hAnsi="Arial" w:cs="Arial"/>
                <w:sz w:val="18"/>
                <w:szCs w:val="18"/>
              </w:rPr>
            </w:pPr>
            <w:r w:rsidRPr="00591775">
              <w:rPr>
                <w:rFonts w:ascii="Arial" w:hAnsi="Arial" w:cs="Arial"/>
                <w:sz w:val="18"/>
                <w:szCs w:val="18"/>
              </w:rPr>
              <w:t xml:space="preserve">Fórmula </w:t>
            </w:r>
            <m:oMath>
              <m:r>
                <w:rPr>
                  <w:rFonts w:ascii="Cambria Math" w:eastAsiaTheme="minorEastAsia" w:hAnsi="Cambria Math" w:cs="Arial"/>
                  <w:sz w:val="18"/>
                  <w:szCs w:val="18"/>
                </w:rPr>
                <m:t>=</m:t>
              </m:r>
              <m:f>
                <m:fPr>
                  <m:ctrlPr>
                    <w:rPr>
                      <w:rFonts w:ascii="Cambria Math" w:eastAsiaTheme="minorEastAsia" w:hAnsi="Cambria Math" w:cs="Arial"/>
                      <w:i/>
                      <w:sz w:val="18"/>
                      <w:szCs w:val="18"/>
                    </w:rPr>
                  </m:ctrlPr>
                </m:fPr>
                <m:num>
                  <m:r>
                    <w:rPr>
                      <w:rFonts w:ascii="Cambria Math" w:eastAsiaTheme="minorEastAsia" w:hAnsi="Cambria Math" w:cs="Arial"/>
                      <w:sz w:val="18"/>
                      <w:szCs w:val="18"/>
                    </w:rPr>
                    <m:t>X</m:t>
                  </m:r>
                </m:num>
                <m:den>
                  <m:r>
                    <w:rPr>
                      <w:rFonts w:ascii="Cambria Math" w:eastAsiaTheme="minorEastAsia" w:hAnsi="Cambria Math" w:cs="Arial"/>
                      <w:sz w:val="18"/>
                      <w:szCs w:val="18"/>
                    </w:rPr>
                    <m:t>N</m:t>
                  </m:r>
                </m:den>
              </m:f>
            </m:oMath>
            <w:r w:rsidRPr="00591775">
              <w:rPr>
                <w:rFonts w:ascii="Arial" w:eastAsiaTheme="minorEastAsia" w:hAnsi="Arial" w:cs="Arial"/>
                <w:sz w:val="18"/>
                <w:szCs w:val="18"/>
              </w:rPr>
              <w:t>x100</w:t>
            </w:r>
          </w:p>
          <w:p w14:paraId="34F513FB" w14:textId="77777777" w:rsidR="00253AC3" w:rsidRPr="00591775" w:rsidRDefault="00253AC3" w:rsidP="00591775">
            <w:pPr>
              <w:rPr>
                <w:rFonts w:ascii="Arial" w:hAnsi="Arial" w:cs="Arial"/>
                <w:sz w:val="18"/>
                <w:szCs w:val="18"/>
              </w:rPr>
            </w:pPr>
          </w:p>
          <w:p w14:paraId="390C4512" w14:textId="77777777" w:rsidR="004419F9" w:rsidRPr="00591775" w:rsidRDefault="004419F9" w:rsidP="00591775">
            <w:pPr>
              <w:rPr>
                <w:rFonts w:ascii="Arial" w:hAnsi="Arial" w:cs="Arial"/>
                <w:sz w:val="18"/>
                <w:szCs w:val="18"/>
              </w:rPr>
            </w:pPr>
            <w:r w:rsidRPr="00591775">
              <w:rPr>
                <w:rFonts w:ascii="Arial" w:hAnsi="Arial" w:cs="Arial"/>
                <w:sz w:val="18"/>
                <w:szCs w:val="18"/>
              </w:rPr>
              <w:t>Donde:</w:t>
            </w:r>
          </w:p>
          <w:p w14:paraId="26C2A8EB" w14:textId="378C210F" w:rsidR="004419F9" w:rsidRPr="00591775" w:rsidRDefault="004419F9" w:rsidP="00591775">
            <w:pPr>
              <w:ind w:left="313" w:hanging="291"/>
              <w:rPr>
                <w:rFonts w:ascii="Arial" w:hAnsi="Arial" w:cs="Arial"/>
                <w:sz w:val="18"/>
                <w:szCs w:val="18"/>
              </w:rPr>
            </w:pPr>
            <w:r w:rsidRPr="00591775">
              <w:rPr>
                <w:rFonts w:ascii="Arial" w:hAnsi="Arial" w:cs="Arial"/>
                <w:sz w:val="18"/>
                <w:szCs w:val="18"/>
              </w:rPr>
              <w:t>X = Población beneficiaria de proyectos de inversión reactivados</w:t>
            </w:r>
          </w:p>
          <w:p w14:paraId="14D70FFF" w14:textId="72EC33AF" w:rsidR="004419F9" w:rsidRPr="00591775" w:rsidRDefault="00C52200" w:rsidP="00591775">
            <w:pPr>
              <w:ind w:left="313" w:hanging="291"/>
              <w:rPr>
                <w:rFonts w:ascii="Arial" w:hAnsi="Arial" w:cs="Arial"/>
                <w:sz w:val="18"/>
                <w:szCs w:val="18"/>
              </w:rPr>
            </w:pPr>
            <w:r w:rsidRPr="00591775">
              <w:rPr>
                <w:rFonts w:ascii="Arial" w:hAnsi="Arial" w:cs="Arial"/>
                <w:sz w:val="18"/>
                <w:szCs w:val="18"/>
              </w:rPr>
              <w:t>N</w:t>
            </w:r>
            <w:r w:rsidR="004419F9" w:rsidRPr="00591775">
              <w:rPr>
                <w:rFonts w:ascii="Arial" w:hAnsi="Arial" w:cs="Arial"/>
                <w:sz w:val="18"/>
                <w:szCs w:val="18"/>
              </w:rPr>
              <w:t xml:space="preserve"> = Población </w:t>
            </w:r>
            <w:r w:rsidR="005D0D5C" w:rsidRPr="00591775">
              <w:rPr>
                <w:rFonts w:ascii="Arial" w:hAnsi="Arial" w:cs="Arial"/>
                <w:sz w:val="18"/>
                <w:szCs w:val="18"/>
              </w:rPr>
              <w:t xml:space="preserve">beneficiaria </w:t>
            </w:r>
            <w:r w:rsidR="004419F9" w:rsidRPr="00591775">
              <w:rPr>
                <w:rFonts w:ascii="Arial" w:hAnsi="Arial" w:cs="Arial"/>
                <w:sz w:val="18"/>
                <w:szCs w:val="18"/>
              </w:rPr>
              <w:t>de la totalidad de proyectos de inversión paralizados</w:t>
            </w:r>
          </w:p>
          <w:p w14:paraId="198D6E33" w14:textId="77777777" w:rsidR="004419F9" w:rsidRPr="00591775" w:rsidRDefault="004419F9" w:rsidP="00591775">
            <w:pPr>
              <w:rPr>
                <w:rFonts w:ascii="Arial" w:hAnsi="Arial" w:cs="Arial"/>
                <w:sz w:val="18"/>
                <w:szCs w:val="18"/>
              </w:rPr>
            </w:pPr>
          </w:p>
          <w:p w14:paraId="61C955B8" w14:textId="77777777" w:rsidR="004419F9" w:rsidRPr="00591775" w:rsidRDefault="004419F9" w:rsidP="00591775">
            <w:pPr>
              <w:rPr>
                <w:rFonts w:ascii="Arial" w:hAnsi="Arial" w:cs="Arial"/>
                <w:b/>
                <w:sz w:val="18"/>
                <w:szCs w:val="18"/>
              </w:rPr>
            </w:pPr>
            <w:r w:rsidRPr="00591775">
              <w:rPr>
                <w:rFonts w:ascii="Arial" w:hAnsi="Arial" w:cs="Arial"/>
                <w:b/>
                <w:sz w:val="18"/>
                <w:szCs w:val="18"/>
              </w:rPr>
              <w:t>Precisiones:</w:t>
            </w:r>
          </w:p>
          <w:p w14:paraId="03EA60B8" w14:textId="77777777" w:rsidR="00253AC3" w:rsidRPr="00591775" w:rsidRDefault="00253AC3" w:rsidP="00591775">
            <w:pPr>
              <w:pStyle w:val="Prrafodelista"/>
              <w:ind w:left="313"/>
              <w:jc w:val="both"/>
              <w:rPr>
                <w:rFonts w:ascii="Arial" w:hAnsi="Arial" w:cs="Arial"/>
                <w:sz w:val="18"/>
                <w:szCs w:val="18"/>
              </w:rPr>
            </w:pPr>
          </w:p>
          <w:p w14:paraId="518D2366" w14:textId="77777777" w:rsidR="004419F9" w:rsidRPr="00591775" w:rsidRDefault="004419F9" w:rsidP="00591775">
            <w:pPr>
              <w:pStyle w:val="Prrafodelista"/>
              <w:numPr>
                <w:ilvl w:val="0"/>
                <w:numId w:val="1"/>
              </w:numPr>
              <w:ind w:left="313" w:hanging="219"/>
              <w:jc w:val="both"/>
              <w:rPr>
                <w:rFonts w:ascii="Arial" w:hAnsi="Arial" w:cs="Arial"/>
                <w:sz w:val="18"/>
                <w:szCs w:val="18"/>
              </w:rPr>
            </w:pPr>
            <w:r w:rsidRPr="00591775">
              <w:rPr>
                <w:rFonts w:ascii="Arial" w:hAnsi="Arial" w:cs="Arial"/>
                <w:sz w:val="18"/>
                <w:szCs w:val="18"/>
                <w:u w:val="single"/>
              </w:rPr>
              <w:t>Sistema de agua potable,</w:t>
            </w:r>
            <w:r w:rsidRPr="00591775">
              <w:rPr>
                <w:rFonts w:ascii="Arial" w:hAnsi="Arial" w:cs="Arial"/>
                <w:sz w:val="18"/>
                <w:szCs w:val="18"/>
              </w:rPr>
              <w:t xml:space="preserve"> aquel que permite que llegue el agua desde las fuentes de captación hasta el punto de consumo, con la cantidad y calidad requerida. Comprende los siguientes componentes: i) Fuentes de Captación, </w:t>
            </w:r>
            <w:proofErr w:type="spellStart"/>
            <w:r w:rsidRPr="00591775">
              <w:rPr>
                <w:rFonts w:ascii="Arial" w:hAnsi="Arial" w:cs="Arial"/>
                <w:sz w:val="18"/>
                <w:szCs w:val="18"/>
              </w:rPr>
              <w:t>ii</w:t>
            </w:r>
            <w:proofErr w:type="spellEnd"/>
            <w:r w:rsidRPr="00591775">
              <w:rPr>
                <w:rFonts w:ascii="Arial" w:hAnsi="Arial" w:cs="Arial"/>
                <w:sz w:val="18"/>
                <w:szCs w:val="18"/>
              </w:rPr>
              <w:t xml:space="preserve">) Línea de conducción o impulsión, </w:t>
            </w:r>
            <w:proofErr w:type="spellStart"/>
            <w:r w:rsidRPr="00591775">
              <w:rPr>
                <w:rFonts w:ascii="Arial" w:hAnsi="Arial" w:cs="Arial"/>
                <w:sz w:val="18"/>
                <w:szCs w:val="18"/>
              </w:rPr>
              <w:t>iii</w:t>
            </w:r>
            <w:proofErr w:type="spellEnd"/>
            <w:r w:rsidRPr="00591775">
              <w:rPr>
                <w:rFonts w:ascii="Arial" w:hAnsi="Arial" w:cs="Arial"/>
                <w:sz w:val="18"/>
                <w:szCs w:val="18"/>
              </w:rPr>
              <w:t xml:space="preserve">) Planta de tratamiento y pretratamiento, </w:t>
            </w:r>
            <w:proofErr w:type="spellStart"/>
            <w:r w:rsidRPr="00591775">
              <w:rPr>
                <w:rFonts w:ascii="Arial" w:hAnsi="Arial" w:cs="Arial"/>
                <w:sz w:val="18"/>
                <w:szCs w:val="18"/>
              </w:rPr>
              <w:t>iv</w:t>
            </w:r>
            <w:proofErr w:type="spellEnd"/>
            <w:r w:rsidRPr="00591775">
              <w:rPr>
                <w:rFonts w:ascii="Arial" w:hAnsi="Arial" w:cs="Arial"/>
                <w:sz w:val="18"/>
                <w:szCs w:val="18"/>
              </w:rPr>
              <w:t xml:space="preserve">) Reservorio de regulación, v) Sistema de cloración, vi) Red de aducción, </w:t>
            </w:r>
            <w:proofErr w:type="spellStart"/>
            <w:r w:rsidRPr="00591775">
              <w:rPr>
                <w:rFonts w:ascii="Arial" w:hAnsi="Arial" w:cs="Arial"/>
                <w:sz w:val="18"/>
                <w:szCs w:val="18"/>
              </w:rPr>
              <w:t>vii</w:t>
            </w:r>
            <w:proofErr w:type="spellEnd"/>
            <w:r w:rsidRPr="00591775">
              <w:rPr>
                <w:rFonts w:ascii="Arial" w:hAnsi="Arial" w:cs="Arial"/>
                <w:sz w:val="18"/>
                <w:szCs w:val="18"/>
              </w:rPr>
              <w:t xml:space="preserve">) Red de distribución y </w:t>
            </w:r>
            <w:proofErr w:type="spellStart"/>
            <w:r w:rsidRPr="00591775">
              <w:rPr>
                <w:rFonts w:ascii="Arial" w:hAnsi="Arial" w:cs="Arial"/>
                <w:sz w:val="18"/>
                <w:szCs w:val="18"/>
              </w:rPr>
              <w:t>viii</w:t>
            </w:r>
            <w:proofErr w:type="spellEnd"/>
            <w:r w:rsidRPr="00591775">
              <w:rPr>
                <w:rFonts w:ascii="Arial" w:hAnsi="Arial" w:cs="Arial"/>
                <w:sz w:val="18"/>
                <w:szCs w:val="18"/>
              </w:rPr>
              <w:t>) Conexiones domiciliarias en exteriores.</w:t>
            </w:r>
          </w:p>
          <w:p w14:paraId="2E93CE82" w14:textId="77777777" w:rsidR="004419F9" w:rsidRPr="00591775" w:rsidRDefault="004419F9" w:rsidP="00591775">
            <w:pPr>
              <w:pStyle w:val="Prrafodelista"/>
              <w:numPr>
                <w:ilvl w:val="0"/>
                <w:numId w:val="1"/>
              </w:numPr>
              <w:ind w:left="313" w:hanging="219"/>
              <w:jc w:val="both"/>
              <w:rPr>
                <w:rFonts w:ascii="Arial" w:hAnsi="Arial" w:cs="Arial"/>
                <w:sz w:val="18"/>
                <w:szCs w:val="18"/>
              </w:rPr>
            </w:pPr>
            <w:r w:rsidRPr="00591775">
              <w:rPr>
                <w:rFonts w:ascii="Arial" w:hAnsi="Arial" w:cs="Arial"/>
                <w:sz w:val="18"/>
                <w:szCs w:val="18"/>
                <w:u w:val="single"/>
              </w:rPr>
              <w:t>Proyecto reactivado</w:t>
            </w:r>
            <w:r w:rsidRPr="00591775">
              <w:rPr>
                <w:rFonts w:ascii="Arial" w:hAnsi="Arial" w:cs="Arial"/>
                <w:sz w:val="18"/>
                <w:szCs w:val="18"/>
              </w:rPr>
              <w:t xml:space="preserve"> es aquel que ha estado paralizado por un determinado tiempo y ha logrado reiniciar su ejecución luego de haber pasado por todos los hitos del proceso de destrabe.</w:t>
            </w:r>
          </w:p>
          <w:p w14:paraId="20D4D34C" w14:textId="0A633365" w:rsidR="004419F9" w:rsidRPr="00591775" w:rsidRDefault="0067775D" w:rsidP="00591775">
            <w:pPr>
              <w:pStyle w:val="Prrafodelista"/>
              <w:numPr>
                <w:ilvl w:val="0"/>
                <w:numId w:val="1"/>
              </w:numPr>
              <w:ind w:left="313" w:hanging="219"/>
              <w:jc w:val="both"/>
              <w:rPr>
                <w:rFonts w:ascii="Arial" w:hAnsi="Arial" w:cs="Arial"/>
                <w:sz w:val="18"/>
                <w:szCs w:val="18"/>
              </w:rPr>
            </w:pPr>
            <w:r w:rsidRPr="00591775">
              <w:rPr>
                <w:rFonts w:ascii="Arial" w:hAnsi="Arial" w:cs="Arial"/>
                <w:sz w:val="18"/>
                <w:szCs w:val="18"/>
                <w:u w:val="single"/>
              </w:rPr>
              <w:t>Proyecto paralizado</w:t>
            </w:r>
            <w:r w:rsidR="004419F9" w:rsidRPr="00591775">
              <w:rPr>
                <w:rFonts w:ascii="Arial" w:hAnsi="Arial" w:cs="Arial"/>
                <w:sz w:val="18"/>
                <w:szCs w:val="18"/>
              </w:rPr>
              <w:t>, aquel</w:t>
            </w:r>
            <w:r w:rsidR="00E94A05" w:rsidRPr="00591775">
              <w:rPr>
                <w:rFonts w:ascii="Arial" w:hAnsi="Arial" w:cs="Arial"/>
                <w:sz w:val="18"/>
                <w:szCs w:val="18"/>
              </w:rPr>
              <w:t xml:space="preserve"> proyecto contratado</w:t>
            </w:r>
            <w:r w:rsidR="004419F9" w:rsidRPr="00591775">
              <w:rPr>
                <w:rFonts w:ascii="Arial" w:hAnsi="Arial" w:cs="Arial"/>
                <w:sz w:val="18"/>
                <w:szCs w:val="18"/>
              </w:rPr>
              <w:t xml:space="preserve"> bajo la Ley de Contrataciones del Estado, que cumple con alguno de los siguientes supuestos: (i) El contrato se encuentra vigente, pero sin reportar la ejecución física por un período igual o mayor a seis meses; o, (</w:t>
            </w:r>
            <w:proofErr w:type="spellStart"/>
            <w:r w:rsidR="004419F9" w:rsidRPr="00591775">
              <w:rPr>
                <w:rFonts w:ascii="Arial" w:hAnsi="Arial" w:cs="Arial"/>
                <w:sz w:val="18"/>
                <w:szCs w:val="18"/>
              </w:rPr>
              <w:t>ii</w:t>
            </w:r>
            <w:proofErr w:type="spellEnd"/>
            <w:r w:rsidR="004419F9" w:rsidRPr="00591775">
              <w:rPr>
                <w:rFonts w:ascii="Arial" w:hAnsi="Arial" w:cs="Arial"/>
                <w:sz w:val="18"/>
                <w:szCs w:val="18"/>
              </w:rPr>
              <w:t>) Provenga de un contrato resuelto o declarado nulo. La paralización incluye situaciones de controversias, abandono, deficiencias del expediente técnico, causas no previsibles en el expediente técnico u otras situaciones imprevisibles posteriores al perfeccionamiento del contrato que impidan su continuidad, culminación o puesta en funcionamiento. Asimismo, se considera obra pública paralizada por administración directa, aquella que no reporte ejecución física por un período mayor a seis meses.</w:t>
            </w:r>
          </w:p>
        </w:tc>
      </w:tr>
      <w:tr w:rsidR="00F244A5" w:rsidRPr="00591775" w14:paraId="40758A1F" w14:textId="77777777" w:rsidTr="005917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3"/>
        </w:trPr>
        <w:tc>
          <w:tcPr>
            <w:tcW w:w="8642" w:type="dxa"/>
            <w:gridSpan w:val="5"/>
            <w:tcBorders>
              <w:top w:val="single" w:sz="4" w:space="0" w:color="auto"/>
              <w:left w:val="single" w:sz="4" w:space="0" w:color="auto"/>
              <w:bottom w:val="single" w:sz="4" w:space="0" w:color="auto"/>
              <w:right w:val="single" w:sz="4" w:space="0" w:color="auto"/>
            </w:tcBorders>
            <w:vAlign w:val="center"/>
          </w:tcPr>
          <w:p w14:paraId="5B575570" w14:textId="77777777" w:rsidR="004419F9" w:rsidRPr="00591775" w:rsidRDefault="004419F9" w:rsidP="00591775">
            <w:pPr>
              <w:rPr>
                <w:rFonts w:ascii="Arial" w:hAnsi="Arial" w:cs="Arial"/>
                <w:sz w:val="18"/>
                <w:szCs w:val="18"/>
              </w:rPr>
            </w:pPr>
            <w:r w:rsidRPr="00591775">
              <w:rPr>
                <w:rFonts w:ascii="Arial" w:hAnsi="Arial" w:cs="Arial"/>
                <w:b/>
                <w:bCs/>
                <w:sz w:val="18"/>
                <w:szCs w:val="18"/>
              </w:rPr>
              <w:t>Limitaciones del indicador</w:t>
            </w:r>
          </w:p>
        </w:tc>
      </w:tr>
      <w:tr w:rsidR="00F244A5" w:rsidRPr="00591775" w14:paraId="45BAD728" w14:textId="77777777" w:rsidTr="005917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5"/>
        </w:trPr>
        <w:tc>
          <w:tcPr>
            <w:tcW w:w="8642" w:type="dxa"/>
            <w:gridSpan w:val="5"/>
            <w:tcBorders>
              <w:top w:val="single" w:sz="4" w:space="0" w:color="auto"/>
              <w:left w:val="single" w:sz="4" w:space="0" w:color="auto"/>
              <w:bottom w:val="single" w:sz="4" w:space="0" w:color="auto"/>
              <w:right w:val="single" w:sz="4" w:space="0" w:color="auto"/>
            </w:tcBorders>
            <w:vAlign w:val="center"/>
          </w:tcPr>
          <w:p w14:paraId="78409855" w14:textId="0C5E7DC8" w:rsidR="004419F9" w:rsidRPr="00591775" w:rsidRDefault="004419F9" w:rsidP="00591775">
            <w:pPr>
              <w:pStyle w:val="Prrafodelista"/>
              <w:numPr>
                <w:ilvl w:val="0"/>
                <w:numId w:val="2"/>
              </w:numPr>
              <w:ind w:left="447"/>
              <w:rPr>
                <w:rFonts w:ascii="Arial" w:hAnsi="Arial" w:cs="Arial"/>
                <w:sz w:val="18"/>
                <w:szCs w:val="18"/>
              </w:rPr>
            </w:pPr>
            <w:proofErr w:type="gramStart"/>
            <w:r w:rsidRPr="00591775">
              <w:rPr>
                <w:rFonts w:ascii="Arial" w:hAnsi="Arial" w:cs="Arial"/>
                <w:sz w:val="18"/>
                <w:szCs w:val="18"/>
              </w:rPr>
              <w:t xml:space="preserve">Las bases de datos </w:t>
            </w:r>
            <w:r w:rsidR="00E94A05" w:rsidRPr="00591775">
              <w:rPr>
                <w:rFonts w:ascii="Arial" w:hAnsi="Arial" w:cs="Arial"/>
                <w:sz w:val="18"/>
                <w:szCs w:val="18"/>
              </w:rPr>
              <w:t>de proyectos paralizados se actualiza</w:t>
            </w:r>
            <w:proofErr w:type="gramEnd"/>
            <w:r w:rsidR="00E94A05" w:rsidRPr="00591775">
              <w:rPr>
                <w:rFonts w:ascii="Arial" w:hAnsi="Arial" w:cs="Arial"/>
                <w:sz w:val="18"/>
                <w:szCs w:val="18"/>
              </w:rPr>
              <w:t xml:space="preserve"> cada 15 días en la OGMEI</w:t>
            </w:r>
            <w:r w:rsidRPr="00591775">
              <w:rPr>
                <w:rFonts w:ascii="Arial" w:hAnsi="Arial" w:cs="Arial"/>
                <w:sz w:val="18"/>
                <w:szCs w:val="18"/>
              </w:rPr>
              <w:t>.</w:t>
            </w:r>
          </w:p>
          <w:p w14:paraId="6120E33F" w14:textId="77777777" w:rsidR="004419F9" w:rsidRPr="00591775" w:rsidRDefault="004419F9" w:rsidP="00591775">
            <w:pPr>
              <w:pStyle w:val="Prrafodelista"/>
              <w:numPr>
                <w:ilvl w:val="0"/>
                <w:numId w:val="2"/>
              </w:numPr>
              <w:ind w:left="447"/>
              <w:rPr>
                <w:rFonts w:ascii="Arial" w:hAnsi="Arial" w:cs="Arial"/>
                <w:sz w:val="18"/>
                <w:szCs w:val="18"/>
              </w:rPr>
            </w:pPr>
            <w:r w:rsidRPr="00591775">
              <w:rPr>
                <w:rFonts w:ascii="Arial" w:hAnsi="Arial" w:cs="Arial"/>
                <w:sz w:val="18"/>
                <w:szCs w:val="18"/>
              </w:rPr>
              <w:t>Encontrar errores en el procesamiento de la información sobre la población afectada.</w:t>
            </w:r>
          </w:p>
        </w:tc>
      </w:tr>
      <w:tr w:rsidR="00F244A5" w:rsidRPr="00591775" w14:paraId="54ED46A4" w14:textId="77777777" w:rsidTr="005917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3"/>
        </w:trPr>
        <w:tc>
          <w:tcPr>
            <w:tcW w:w="8642" w:type="dxa"/>
            <w:gridSpan w:val="5"/>
            <w:tcBorders>
              <w:top w:val="single" w:sz="4" w:space="0" w:color="auto"/>
              <w:left w:val="single" w:sz="4" w:space="0" w:color="auto"/>
              <w:bottom w:val="single" w:sz="4" w:space="0" w:color="auto"/>
              <w:right w:val="single" w:sz="4" w:space="0" w:color="auto"/>
            </w:tcBorders>
            <w:vAlign w:val="center"/>
          </w:tcPr>
          <w:p w14:paraId="2BDCE942" w14:textId="77777777" w:rsidR="004419F9" w:rsidRPr="00591775" w:rsidRDefault="004419F9" w:rsidP="00591775">
            <w:pPr>
              <w:rPr>
                <w:rFonts w:ascii="Arial" w:hAnsi="Arial" w:cs="Arial"/>
                <w:sz w:val="18"/>
                <w:szCs w:val="18"/>
              </w:rPr>
            </w:pPr>
            <w:r w:rsidRPr="00591775">
              <w:rPr>
                <w:rFonts w:ascii="Arial" w:hAnsi="Arial" w:cs="Arial"/>
                <w:b/>
                <w:bCs/>
                <w:sz w:val="18"/>
                <w:szCs w:val="18"/>
              </w:rPr>
              <w:t xml:space="preserve">Supuestos </w:t>
            </w:r>
          </w:p>
        </w:tc>
      </w:tr>
      <w:tr w:rsidR="00F244A5" w:rsidRPr="00591775" w14:paraId="1747BF96" w14:textId="77777777" w:rsidTr="005917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31"/>
        </w:trPr>
        <w:tc>
          <w:tcPr>
            <w:tcW w:w="8642" w:type="dxa"/>
            <w:gridSpan w:val="5"/>
            <w:tcBorders>
              <w:top w:val="single" w:sz="4" w:space="0" w:color="auto"/>
              <w:left w:val="single" w:sz="4" w:space="0" w:color="auto"/>
              <w:bottom w:val="single" w:sz="4" w:space="0" w:color="auto"/>
              <w:right w:val="single" w:sz="4" w:space="0" w:color="auto"/>
            </w:tcBorders>
            <w:vAlign w:val="center"/>
          </w:tcPr>
          <w:p w14:paraId="2DBBEE3A" w14:textId="77777777" w:rsidR="004419F9" w:rsidRPr="00591775" w:rsidRDefault="004419F9" w:rsidP="00591775">
            <w:pPr>
              <w:pStyle w:val="Prrafodelista"/>
              <w:numPr>
                <w:ilvl w:val="0"/>
                <w:numId w:val="2"/>
              </w:numPr>
              <w:ind w:left="447"/>
              <w:jc w:val="both"/>
              <w:rPr>
                <w:rFonts w:ascii="Arial" w:hAnsi="Arial" w:cs="Arial"/>
                <w:sz w:val="18"/>
                <w:szCs w:val="18"/>
              </w:rPr>
            </w:pPr>
            <w:r w:rsidRPr="00591775">
              <w:rPr>
                <w:rFonts w:ascii="Arial" w:hAnsi="Arial" w:cs="Arial"/>
                <w:sz w:val="18"/>
                <w:szCs w:val="18"/>
              </w:rPr>
              <w:t>Todos los proyectos reactivados informados han pasado por todos los hitos de destrabe.</w:t>
            </w:r>
          </w:p>
          <w:p w14:paraId="1DAEE916" w14:textId="77777777" w:rsidR="004419F9" w:rsidRPr="00591775" w:rsidRDefault="004419F9" w:rsidP="00591775">
            <w:pPr>
              <w:pStyle w:val="Prrafodelista"/>
              <w:numPr>
                <w:ilvl w:val="0"/>
                <w:numId w:val="2"/>
              </w:numPr>
              <w:ind w:left="447"/>
              <w:jc w:val="both"/>
              <w:rPr>
                <w:rFonts w:ascii="Arial" w:hAnsi="Arial" w:cs="Arial"/>
                <w:sz w:val="18"/>
                <w:szCs w:val="18"/>
              </w:rPr>
            </w:pPr>
            <w:r w:rsidRPr="00591775">
              <w:rPr>
                <w:rFonts w:ascii="Arial" w:hAnsi="Arial" w:cs="Arial"/>
                <w:sz w:val="18"/>
                <w:szCs w:val="18"/>
              </w:rPr>
              <w:t>Todos los proyectos cuenten con las condiciones para ser reactivados.</w:t>
            </w:r>
          </w:p>
          <w:p w14:paraId="5A30A571" w14:textId="03BF0C56" w:rsidR="004419F9" w:rsidRPr="00591775" w:rsidRDefault="004419F9" w:rsidP="00591775">
            <w:pPr>
              <w:pStyle w:val="Prrafodelista"/>
              <w:numPr>
                <w:ilvl w:val="0"/>
                <w:numId w:val="2"/>
              </w:numPr>
              <w:ind w:left="447"/>
              <w:rPr>
                <w:rFonts w:ascii="Arial" w:hAnsi="Arial" w:cs="Arial"/>
                <w:sz w:val="18"/>
                <w:szCs w:val="18"/>
              </w:rPr>
            </w:pPr>
            <w:r w:rsidRPr="00591775">
              <w:rPr>
                <w:rFonts w:ascii="Arial" w:hAnsi="Arial" w:cs="Arial"/>
                <w:sz w:val="18"/>
                <w:szCs w:val="18"/>
              </w:rPr>
              <w:t xml:space="preserve">Se mantenga </w:t>
            </w:r>
            <w:r w:rsidR="00591775" w:rsidRPr="00591775">
              <w:rPr>
                <w:rFonts w:ascii="Arial" w:hAnsi="Arial" w:cs="Arial"/>
                <w:sz w:val="18"/>
                <w:szCs w:val="18"/>
              </w:rPr>
              <w:t>actualizada la base de datos de OGMEI</w:t>
            </w:r>
            <w:r w:rsidRPr="00591775">
              <w:rPr>
                <w:rFonts w:ascii="Arial" w:hAnsi="Arial" w:cs="Arial"/>
                <w:sz w:val="18"/>
                <w:szCs w:val="18"/>
              </w:rPr>
              <w:t xml:space="preserve">. </w:t>
            </w:r>
          </w:p>
        </w:tc>
      </w:tr>
      <w:tr w:rsidR="00F244A5" w:rsidRPr="00591775" w14:paraId="73664494" w14:textId="77777777" w:rsidTr="005917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3"/>
        </w:trPr>
        <w:tc>
          <w:tcPr>
            <w:tcW w:w="8642" w:type="dxa"/>
            <w:gridSpan w:val="5"/>
            <w:tcBorders>
              <w:top w:val="single" w:sz="4" w:space="0" w:color="auto"/>
              <w:left w:val="single" w:sz="4" w:space="0" w:color="auto"/>
              <w:bottom w:val="single" w:sz="4" w:space="0" w:color="auto"/>
              <w:right w:val="single" w:sz="4" w:space="0" w:color="auto"/>
            </w:tcBorders>
            <w:vAlign w:val="center"/>
          </w:tcPr>
          <w:p w14:paraId="368DA7AC" w14:textId="77777777" w:rsidR="004419F9" w:rsidRPr="00591775" w:rsidRDefault="004419F9" w:rsidP="00591775">
            <w:pPr>
              <w:rPr>
                <w:rFonts w:ascii="Arial" w:hAnsi="Arial" w:cs="Arial"/>
                <w:sz w:val="18"/>
                <w:szCs w:val="18"/>
              </w:rPr>
            </w:pPr>
            <w:r w:rsidRPr="00591775">
              <w:rPr>
                <w:rFonts w:ascii="Arial" w:hAnsi="Arial" w:cs="Arial"/>
                <w:b/>
                <w:bCs/>
                <w:sz w:val="18"/>
                <w:szCs w:val="18"/>
              </w:rPr>
              <w:t>Fuente y base de datos</w:t>
            </w:r>
          </w:p>
        </w:tc>
      </w:tr>
      <w:tr w:rsidR="00126AA5" w:rsidRPr="00591775" w14:paraId="067A7B41" w14:textId="77777777" w:rsidTr="005917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8"/>
        </w:trPr>
        <w:tc>
          <w:tcPr>
            <w:tcW w:w="8642" w:type="dxa"/>
            <w:gridSpan w:val="5"/>
            <w:tcBorders>
              <w:top w:val="single" w:sz="4" w:space="0" w:color="auto"/>
              <w:left w:val="single" w:sz="4" w:space="0" w:color="auto"/>
              <w:bottom w:val="single" w:sz="4" w:space="0" w:color="auto"/>
              <w:right w:val="single" w:sz="4" w:space="0" w:color="auto"/>
            </w:tcBorders>
            <w:vAlign w:val="center"/>
          </w:tcPr>
          <w:p w14:paraId="529A59F9" w14:textId="25759F98" w:rsidR="0045398B" w:rsidRPr="00591775" w:rsidRDefault="0045398B" w:rsidP="00591775">
            <w:pPr>
              <w:rPr>
                <w:rFonts w:ascii="Arial" w:hAnsi="Arial" w:cs="Arial"/>
                <w:sz w:val="18"/>
                <w:szCs w:val="18"/>
              </w:rPr>
            </w:pPr>
            <w:r w:rsidRPr="00591775">
              <w:rPr>
                <w:rFonts w:ascii="Arial" w:hAnsi="Arial" w:cs="Arial"/>
                <w:sz w:val="18"/>
                <w:szCs w:val="18"/>
              </w:rPr>
              <w:t>Matriz de Obras Paralizadas – OGMEI</w:t>
            </w:r>
          </w:p>
        </w:tc>
      </w:tr>
    </w:tbl>
    <w:p w14:paraId="436B1B7E" w14:textId="77777777" w:rsidR="0045398B" w:rsidRDefault="0045398B" w:rsidP="004419F9"/>
    <w:p w14:paraId="7F0A8D02" w14:textId="77777777" w:rsidR="0045398B" w:rsidRDefault="0045398B" w:rsidP="004419F9"/>
    <w:p w14:paraId="05B89A03" w14:textId="7D8E4417" w:rsidR="006B39EC" w:rsidRDefault="006B39EC" w:rsidP="004419F9">
      <w:pPr>
        <w:spacing w:after="0"/>
        <w:rPr>
          <w:rFonts w:ascii="Arial" w:hAnsi="Arial" w:cs="Arial"/>
          <w:sz w:val="18"/>
          <w:szCs w:val="20"/>
        </w:rPr>
      </w:pPr>
    </w:p>
    <w:p w14:paraId="28A1F237" w14:textId="77777777" w:rsidR="006B39EC" w:rsidRPr="006B39EC" w:rsidRDefault="006B39EC" w:rsidP="006B39EC">
      <w:pPr>
        <w:rPr>
          <w:rFonts w:ascii="Arial" w:hAnsi="Arial" w:cs="Arial"/>
          <w:sz w:val="18"/>
          <w:szCs w:val="20"/>
        </w:rPr>
      </w:pPr>
    </w:p>
    <w:p w14:paraId="16057E80" w14:textId="77777777" w:rsidR="006B39EC" w:rsidRPr="006B39EC" w:rsidRDefault="006B39EC" w:rsidP="006B39EC">
      <w:pPr>
        <w:rPr>
          <w:rFonts w:ascii="Arial" w:hAnsi="Arial" w:cs="Arial"/>
          <w:sz w:val="18"/>
          <w:szCs w:val="20"/>
        </w:rPr>
      </w:pPr>
    </w:p>
    <w:p w14:paraId="0E9C4FCD" w14:textId="77777777" w:rsidR="006B39EC" w:rsidRPr="006B39EC" w:rsidRDefault="006B39EC" w:rsidP="006B39EC">
      <w:pPr>
        <w:rPr>
          <w:rFonts w:ascii="Arial" w:hAnsi="Arial" w:cs="Arial"/>
          <w:sz w:val="18"/>
          <w:szCs w:val="20"/>
        </w:rPr>
      </w:pPr>
    </w:p>
    <w:p w14:paraId="3DE00B30" w14:textId="77777777" w:rsidR="006B39EC" w:rsidRPr="006B39EC" w:rsidRDefault="006B39EC" w:rsidP="006B39EC">
      <w:pPr>
        <w:rPr>
          <w:rFonts w:ascii="Arial" w:hAnsi="Arial" w:cs="Arial"/>
          <w:sz w:val="18"/>
          <w:szCs w:val="20"/>
        </w:rPr>
      </w:pPr>
    </w:p>
    <w:p w14:paraId="1D81D209" w14:textId="77777777" w:rsidR="006B39EC" w:rsidRPr="006B39EC" w:rsidRDefault="006B39EC" w:rsidP="006B39EC">
      <w:pPr>
        <w:rPr>
          <w:rFonts w:ascii="Arial" w:hAnsi="Arial" w:cs="Arial"/>
          <w:sz w:val="18"/>
          <w:szCs w:val="20"/>
        </w:rPr>
      </w:pPr>
    </w:p>
    <w:p w14:paraId="38C10F81" w14:textId="77777777" w:rsidR="006B39EC" w:rsidRPr="006B39EC" w:rsidRDefault="006B39EC" w:rsidP="006B39EC">
      <w:pPr>
        <w:rPr>
          <w:rFonts w:ascii="Arial" w:hAnsi="Arial" w:cs="Arial"/>
          <w:sz w:val="18"/>
          <w:szCs w:val="20"/>
        </w:rPr>
      </w:pPr>
    </w:p>
    <w:p w14:paraId="040C96CF" w14:textId="77777777" w:rsidR="006B39EC" w:rsidRPr="006B39EC" w:rsidRDefault="006B39EC" w:rsidP="006B39EC">
      <w:pPr>
        <w:rPr>
          <w:rFonts w:ascii="Arial" w:hAnsi="Arial" w:cs="Arial"/>
          <w:sz w:val="18"/>
          <w:szCs w:val="20"/>
        </w:rPr>
      </w:pPr>
    </w:p>
    <w:p w14:paraId="5B514D00" w14:textId="77777777" w:rsidR="006B39EC" w:rsidRPr="006B39EC" w:rsidRDefault="006B39EC" w:rsidP="006B39EC">
      <w:pPr>
        <w:rPr>
          <w:rFonts w:ascii="Arial" w:hAnsi="Arial" w:cs="Arial"/>
          <w:sz w:val="18"/>
          <w:szCs w:val="20"/>
        </w:rPr>
      </w:pPr>
    </w:p>
    <w:p w14:paraId="0351CD0E" w14:textId="77777777" w:rsidR="006B39EC" w:rsidRPr="006B39EC" w:rsidRDefault="006B39EC" w:rsidP="006B39EC">
      <w:pPr>
        <w:rPr>
          <w:rFonts w:ascii="Arial" w:hAnsi="Arial" w:cs="Arial"/>
          <w:sz w:val="18"/>
          <w:szCs w:val="20"/>
        </w:rPr>
      </w:pPr>
    </w:p>
    <w:p w14:paraId="16AD9C59" w14:textId="77777777" w:rsidR="006B39EC" w:rsidRPr="006B39EC" w:rsidRDefault="006B39EC" w:rsidP="006B39EC">
      <w:pPr>
        <w:rPr>
          <w:rFonts w:ascii="Arial" w:hAnsi="Arial" w:cs="Arial"/>
          <w:sz w:val="18"/>
          <w:szCs w:val="20"/>
        </w:rPr>
      </w:pPr>
    </w:p>
    <w:p w14:paraId="3218F95A" w14:textId="77777777" w:rsidR="006B39EC" w:rsidRPr="006B39EC" w:rsidRDefault="006B39EC" w:rsidP="006B39EC">
      <w:pPr>
        <w:rPr>
          <w:rFonts w:ascii="Arial" w:hAnsi="Arial" w:cs="Arial"/>
          <w:sz w:val="18"/>
          <w:szCs w:val="20"/>
        </w:rPr>
      </w:pPr>
    </w:p>
    <w:p w14:paraId="66D0707E" w14:textId="77777777" w:rsidR="006B39EC" w:rsidRPr="006B39EC" w:rsidRDefault="006B39EC" w:rsidP="006B39EC">
      <w:pPr>
        <w:rPr>
          <w:rFonts w:ascii="Arial" w:hAnsi="Arial" w:cs="Arial"/>
          <w:sz w:val="18"/>
          <w:szCs w:val="20"/>
        </w:rPr>
      </w:pPr>
    </w:p>
    <w:p w14:paraId="5D570E90" w14:textId="77777777" w:rsidR="006B39EC" w:rsidRPr="006B39EC" w:rsidRDefault="006B39EC" w:rsidP="006B39EC">
      <w:pPr>
        <w:rPr>
          <w:rFonts w:ascii="Arial" w:hAnsi="Arial" w:cs="Arial"/>
          <w:sz w:val="18"/>
          <w:szCs w:val="20"/>
        </w:rPr>
      </w:pPr>
    </w:p>
    <w:p w14:paraId="164D5EAD" w14:textId="77777777" w:rsidR="006B39EC" w:rsidRPr="006B39EC" w:rsidRDefault="006B39EC" w:rsidP="006B39EC">
      <w:pPr>
        <w:rPr>
          <w:rFonts w:ascii="Arial" w:hAnsi="Arial" w:cs="Arial"/>
          <w:sz w:val="18"/>
          <w:szCs w:val="20"/>
        </w:rPr>
      </w:pPr>
    </w:p>
    <w:p w14:paraId="779BA919" w14:textId="77777777" w:rsidR="006B39EC" w:rsidRPr="006B39EC" w:rsidRDefault="006B39EC" w:rsidP="006B39EC">
      <w:pPr>
        <w:rPr>
          <w:rFonts w:ascii="Arial" w:hAnsi="Arial" w:cs="Arial"/>
          <w:sz w:val="18"/>
          <w:szCs w:val="20"/>
        </w:rPr>
      </w:pPr>
    </w:p>
    <w:p w14:paraId="55143DD7" w14:textId="77777777" w:rsidR="006B39EC" w:rsidRPr="006B39EC" w:rsidRDefault="006B39EC" w:rsidP="006B39EC">
      <w:pPr>
        <w:rPr>
          <w:rFonts w:ascii="Arial" w:hAnsi="Arial" w:cs="Arial"/>
          <w:sz w:val="18"/>
          <w:szCs w:val="20"/>
        </w:rPr>
      </w:pPr>
    </w:p>
    <w:p w14:paraId="6C3F84DE" w14:textId="77777777" w:rsidR="006B39EC" w:rsidRPr="006B39EC" w:rsidRDefault="006B39EC" w:rsidP="006B39EC">
      <w:pPr>
        <w:rPr>
          <w:rFonts w:ascii="Arial" w:hAnsi="Arial" w:cs="Arial"/>
          <w:sz w:val="18"/>
          <w:szCs w:val="20"/>
        </w:rPr>
      </w:pPr>
    </w:p>
    <w:p w14:paraId="35DD06BC" w14:textId="77777777" w:rsidR="006B39EC" w:rsidRPr="006B39EC" w:rsidRDefault="006B39EC" w:rsidP="006B39EC">
      <w:pPr>
        <w:rPr>
          <w:rFonts w:ascii="Arial" w:hAnsi="Arial" w:cs="Arial"/>
          <w:sz w:val="18"/>
          <w:szCs w:val="20"/>
        </w:rPr>
      </w:pPr>
    </w:p>
    <w:p w14:paraId="02398FDD" w14:textId="77777777" w:rsidR="006B39EC" w:rsidRPr="006B39EC" w:rsidRDefault="006B39EC" w:rsidP="006B39EC">
      <w:pPr>
        <w:rPr>
          <w:rFonts w:ascii="Arial" w:hAnsi="Arial" w:cs="Arial"/>
          <w:sz w:val="18"/>
          <w:szCs w:val="20"/>
        </w:rPr>
      </w:pPr>
    </w:p>
    <w:p w14:paraId="37EC6F41" w14:textId="77777777" w:rsidR="006B39EC" w:rsidRPr="006B39EC" w:rsidRDefault="006B39EC" w:rsidP="006B39EC">
      <w:pPr>
        <w:rPr>
          <w:rFonts w:ascii="Arial" w:hAnsi="Arial" w:cs="Arial"/>
          <w:sz w:val="18"/>
          <w:szCs w:val="20"/>
        </w:rPr>
      </w:pPr>
    </w:p>
    <w:p w14:paraId="13D4BB81" w14:textId="77777777" w:rsidR="006B39EC" w:rsidRPr="006B39EC" w:rsidRDefault="006B39EC" w:rsidP="006B39EC">
      <w:pPr>
        <w:rPr>
          <w:rFonts w:ascii="Arial" w:hAnsi="Arial" w:cs="Arial"/>
          <w:sz w:val="18"/>
          <w:szCs w:val="20"/>
        </w:rPr>
      </w:pPr>
    </w:p>
    <w:p w14:paraId="601EA6F1" w14:textId="77777777" w:rsidR="006B39EC" w:rsidRPr="006B39EC" w:rsidRDefault="006B39EC" w:rsidP="006B39EC">
      <w:pPr>
        <w:rPr>
          <w:rFonts w:ascii="Arial" w:hAnsi="Arial" w:cs="Arial"/>
          <w:sz w:val="18"/>
          <w:szCs w:val="20"/>
        </w:rPr>
      </w:pPr>
    </w:p>
    <w:p w14:paraId="370AB283" w14:textId="77777777" w:rsidR="006B39EC" w:rsidRPr="006B39EC" w:rsidRDefault="006B39EC" w:rsidP="006B39EC">
      <w:pPr>
        <w:rPr>
          <w:rFonts w:ascii="Arial" w:hAnsi="Arial" w:cs="Arial"/>
          <w:sz w:val="18"/>
          <w:szCs w:val="20"/>
        </w:rPr>
      </w:pPr>
    </w:p>
    <w:p w14:paraId="332F7C4E" w14:textId="77777777" w:rsidR="006B39EC" w:rsidRPr="006B39EC" w:rsidRDefault="006B39EC" w:rsidP="006B39EC">
      <w:pPr>
        <w:rPr>
          <w:rFonts w:ascii="Arial" w:hAnsi="Arial" w:cs="Arial"/>
          <w:sz w:val="18"/>
          <w:szCs w:val="20"/>
        </w:rPr>
      </w:pPr>
    </w:p>
    <w:p w14:paraId="5A9E8A66" w14:textId="77777777" w:rsidR="006B39EC" w:rsidRPr="006B39EC" w:rsidRDefault="006B39EC" w:rsidP="006B39EC">
      <w:pPr>
        <w:rPr>
          <w:rFonts w:ascii="Arial" w:hAnsi="Arial" w:cs="Arial"/>
          <w:sz w:val="18"/>
          <w:szCs w:val="20"/>
        </w:rPr>
      </w:pPr>
    </w:p>
    <w:p w14:paraId="55D72EA6" w14:textId="0F304426" w:rsidR="006B39EC" w:rsidRDefault="006B39EC" w:rsidP="006B39EC">
      <w:pPr>
        <w:rPr>
          <w:rFonts w:ascii="Arial" w:hAnsi="Arial" w:cs="Arial"/>
          <w:sz w:val="18"/>
          <w:szCs w:val="20"/>
        </w:rPr>
      </w:pPr>
    </w:p>
    <w:p w14:paraId="49B31828" w14:textId="76B292C4" w:rsidR="006B39EC" w:rsidRDefault="006B39EC" w:rsidP="006B39EC">
      <w:pPr>
        <w:rPr>
          <w:rFonts w:ascii="Arial" w:hAnsi="Arial" w:cs="Arial"/>
          <w:sz w:val="18"/>
          <w:szCs w:val="20"/>
        </w:rPr>
      </w:pPr>
    </w:p>
    <w:p w14:paraId="3BB55A0C" w14:textId="0E460A75" w:rsidR="004419F9" w:rsidRDefault="004419F9" w:rsidP="006B39EC">
      <w:pPr>
        <w:rPr>
          <w:rFonts w:ascii="Arial" w:hAnsi="Arial" w:cs="Arial"/>
          <w:sz w:val="18"/>
          <w:szCs w:val="20"/>
        </w:rPr>
      </w:pPr>
    </w:p>
    <w:p w14:paraId="300BD118" w14:textId="50614E19" w:rsidR="006B39EC" w:rsidRDefault="006B39EC" w:rsidP="006B39EC">
      <w:pPr>
        <w:rPr>
          <w:rFonts w:ascii="Arial" w:hAnsi="Arial" w:cs="Arial"/>
          <w:sz w:val="18"/>
          <w:szCs w:val="20"/>
        </w:rPr>
      </w:pPr>
    </w:p>
    <w:p w14:paraId="3FFE00C1" w14:textId="0E6FC6A1" w:rsidR="006B39EC" w:rsidRDefault="006B39EC" w:rsidP="006B39EC">
      <w:pPr>
        <w:rPr>
          <w:rFonts w:ascii="Arial" w:hAnsi="Arial" w:cs="Arial"/>
          <w:sz w:val="18"/>
          <w:szCs w:val="20"/>
        </w:rPr>
      </w:pPr>
    </w:p>
    <w:p w14:paraId="7123D225" w14:textId="0641D679" w:rsidR="006B39EC" w:rsidRDefault="006B39EC" w:rsidP="006B39EC">
      <w:pPr>
        <w:rPr>
          <w:rFonts w:ascii="Arial" w:hAnsi="Arial" w:cs="Arial"/>
          <w:sz w:val="18"/>
          <w:szCs w:val="20"/>
        </w:rPr>
      </w:pPr>
    </w:p>
    <w:p w14:paraId="26CD8B58" w14:textId="366768F7" w:rsidR="006B39EC" w:rsidRDefault="006B39EC" w:rsidP="006B39EC">
      <w:pPr>
        <w:rPr>
          <w:rFonts w:ascii="Arial" w:hAnsi="Arial" w:cs="Arial"/>
          <w:sz w:val="18"/>
          <w:szCs w:val="20"/>
        </w:rPr>
      </w:pPr>
    </w:p>
    <w:p w14:paraId="383295D6" w14:textId="07AAFEE0" w:rsidR="006B39EC" w:rsidRDefault="006B39EC" w:rsidP="006B39EC">
      <w:pPr>
        <w:rPr>
          <w:rFonts w:ascii="Arial" w:hAnsi="Arial" w:cs="Arial"/>
          <w:sz w:val="18"/>
          <w:szCs w:val="20"/>
        </w:rPr>
      </w:pPr>
    </w:p>
    <w:p w14:paraId="46007978" w14:textId="1B40BCE0" w:rsidR="006B39EC" w:rsidRDefault="006B39EC" w:rsidP="006B39EC">
      <w:pPr>
        <w:rPr>
          <w:rFonts w:ascii="Arial" w:hAnsi="Arial" w:cs="Arial"/>
          <w:sz w:val="18"/>
          <w:szCs w:val="20"/>
        </w:rPr>
      </w:pPr>
    </w:p>
    <w:p w14:paraId="1D9A8D68" w14:textId="4D2F92D1" w:rsidR="006B39EC" w:rsidRDefault="006B39EC" w:rsidP="006B39EC">
      <w:pPr>
        <w:rPr>
          <w:rFonts w:ascii="Arial" w:hAnsi="Arial" w:cs="Arial"/>
          <w:sz w:val="18"/>
          <w:szCs w:val="20"/>
        </w:rPr>
      </w:pPr>
    </w:p>
    <w:tbl>
      <w:tblPr>
        <w:tblStyle w:val="Tablaconcuadrcula"/>
        <w:tblpPr w:leftFromText="141" w:rightFromText="141" w:vertAnchor="page" w:horzAnchor="margin" w:tblpY="1143"/>
        <w:tblW w:w="8639" w:type="dxa"/>
        <w:tblLook w:val="04A0" w:firstRow="1" w:lastRow="0" w:firstColumn="1" w:lastColumn="0" w:noHBand="0" w:noVBand="1"/>
      </w:tblPr>
      <w:tblGrid>
        <w:gridCol w:w="1077"/>
        <w:gridCol w:w="1357"/>
        <w:gridCol w:w="1336"/>
        <w:gridCol w:w="2419"/>
        <w:gridCol w:w="2450"/>
      </w:tblGrid>
      <w:tr w:rsidR="006B39EC" w:rsidRPr="00270478" w14:paraId="05FB380A" w14:textId="77777777" w:rsidTr="006B39EC">
        <w:trPr>
          <w:trHeight w:val="567"/>
        </w:trPr>
        <w:tc>
          <w:tcPr>
            <w:tcW w:w="8639" w:type="dxa"/>
            <w:gridSpan w:val="5"/>
          </w:tcPr>
          <w:p w14:paraId="470211BC" w14:textId="77777777" w:rsidR="006B39EC" w:rsidRPr="00270478" w:rsidRDefault="006B39EC" w:rsidP="006B39EC">
            <w:pPr>
              <w:spacing w:line="276" w:lineRule="auto"/>
              <w:jc w:val="center"/>
              <w:rPr>
                <w:rFonts w:ascii="Arial" w:hAnsi="Arial"/>
                <w:b/>
                <w:snapToGrid w:val="0"/>
                <w:sz w:val="18"/>
                <w:szCs w:val="18"/>
              </w:rPr>
            </w:pPr>
            <w:r w:rsidRPr="00270478">
              <w:rPr>
                <w:rFonts w:ascii="Arial" w:hAnsi="Arial"/>
                <w:b/>
                <w:snapToGrid w:val="0"/>
                <w:sz w:val="18"/>
                <w:szCs w:val="18"/>
              </w:rPr>
              <w:lastRenderedPageBreak/>
              <w:t>FICHA TÉCNICA DE INDICADOR DE GESTIÓN</w:t>
            </w:r>
          </w:p>
          <w:p w14:paraId="356F32C3" w14:textId="77777777" w:rsidR="006B39EC" w:rsidRPr="00270478" w:rsidRDefault="006B39EC" w:rsidP="006B39EC">
            <w:pPr>
              <w:spacing w:line="276" w:lineRule="auto"/>
              <w:jc w:val="center"/>
              <w:rPr>
                <w:rFonts w:ascii="Arial" w:hAnsi="Arial"/>
                <w:b/>
                <w:snapToGrid w:val="0"/>
                <w:sz w:val="18"/>
                <w:szCs w:val="18"/>
              </w:rPr>
            </w:pPr>
            <w:r w:rsidRPr="00270478">
              <w:rPr>
                <w:rFonts w:ascii="Arial" w:hAnsi="Arial"/>
                <w:b/>
                <w:snapToGrid w:val="0"/>
                <w:sz w:val="18"/>
                <w:szCs w:val="18"/>
              </w:rPr>
              <w:t>MINISTERIO DE VIVIENDA, CONSTRUCCIÓN Y SANEAMIENTO</w:t>
            </w:r>
          </w:p>
        </w:tc>
      </w:tr>
      <w:tr w:rsidR="006B39EC" w:rsidRPr="00270478" w14:paraId="7AA80244" w14:textId="77777777" w:rsidTr="006B39EC">
        <w:trPr>
          <w:trHeight w:val="229"/>
        </w:trPr>
        <w:tc>
          <w:tcPr>
            <w:tcW w:w="8639" w:type="dxa"/>
            <w:gridSpan w:val="5"/>
          </w:tcPr>
          <w:p w14:paraId="11A178E7" w14:textId="77777777" w:rsidR="006B39EC" w:rsidRPr="00270478" w:rsidRDefault="006B39EC" w:rsidP="006B39EC">
            <w:pPr>
              <w:jc w:val="center"/>
              <w:rPr>
                <w:rFonts w:ascii="Arial" w:hAnsi="Arial" w:cs="Arial"/>
                <w:b/>
                <w:bCs/>
                <w:sz w:val="18"/>
                <w:szCs w:val="18"/>
              </w:rPr>
            </w:pPr>
            <w:r w:rsidRPr="00270478">
              <w:rPr>
                <w:rFonts w:ascii="Arial" w:hAnsi="Arial" w:cs="Arial"/>
                <w:b/>
                <w:bCs/>
                <w:sz w:val="18"/>
                <w:szCs w:val="18"/>
              </w:rPr>
              <w:t>Nombre del Indicador</w:t>
            </w:r>
          </w:p>
        </w:tc>
      </w:tr>
      <w:tr w:rsidR="006B39EC" w:rsidRPr="00270478" w14:paraId="39A6B206" w14:textId="77777777" w:rsidTr="006B39EC">
        <w:trPr>
          <w:trHeight w:val="558"/>
        </w:trPr>
        <w:tc>
          <w:tcPr>
            <w:tcW w:w="8639" w:type="dxa"/>
            <w:gridSpan w:val="5"/>
            <w:vAlign w:val="center"/>
          </w:tcPr>
          <w:p w14:paraId="1A6BEE6E" w14:textId="77777777" w:rsidR="006B39EC" w:rsidRPr="00270478" w:rsidRDefault="006B39EC" w:rsidP="006B39EC">
            <w:pPr>
              <w:ind w:left="720"/>
              <w:jc w:val="center"/>
              <w:rPr>
                <w:rFonts w:ascii="Arial" w:hAnsi="Arial" w:cs="Arial"/>
                <w:sz w:val="18"/>
                <w:szCs w:val="18"/>
              </w:rPr>
            </w:pPr>
            <w:r w:rsidRPr="00270478">
              <w:rPr>
                <w:rFonts w:ascii="Arial" w:hAnsi="Arial" w:cs="Arial"/>
                <w:sz w:val="18"/>
                <w:szCs w:val="18"/>
              </w:rPr>
              <w:t>Contribución de la intervención del MVCS en la reducción de brecha de acceso a agua por red pública</w:t>
            </w:r>
          </w:p>
        </w:tc>
      </w:tr>
      <w:tr w:rsidR="006B39EC" w:rsidRPr="00270478" w14:paraId="2C552A14" w14:textId="77777777" w:rsidTr="006B39EC">
        <w:trPr>
          <w:trHeight w:val="258"/>
        </w:trPr>
        <w:tc>
          <w:tcPr>
            <w:tcW w:w="1077" w:type="dxa"/>
            <w:vAlign w:val="center"/>
          </w:tcPr>
          <w:p w14:paraId="4B0875A2" w14:textId="77777777" w:rsidR="006B39EC" w:rsidRPr="00270478" w:rsidRDefault="006B39EC" w:rsidP="006B39EC">
            <w:pPr>
              <w:jc w:val="center"/>
              <w:rPr>
                <w:rFonts w:ascii="Arial" w:hAnsi="Arial" w:cs="Arial"/>
                <w:sz w:val="18"/>
                <w:szCs w:val="18"/>
              </w:rPr>
            </w:pPr>
            <w:r w:rsidRPr="00270478">
              <w:rPr>
                <w:rFonts w:ascii="Arial" w:hAnsi="Arial" w:cs="Arial"/>
                <w:b/>
                <w:bCs/>
                <w:sz w:val="18"/>
                <w:szCs w:val="18"/>
              </w:rPr>
              <w:t>Unidad de Medida</w:t>
            </w:r>
          </w:p>
        </w:tc>
        <w:tc>
          <w:tcPr>
            <w:tcW w:w="1357" w:type="dxa"/>
            <w:vAlign w:val="center"/>
          </w:tcPr>
          <w:p w14:paraId="1E959F72" w14:textId="77777777" w:rsidR="006B39EC" w:rsidRPr="00270478" w:rsidRDefault="006B39EC" w:rsidP="006B39EC">
            <w:pPr>
              <w:jc w:val="center"/>
              <w:rPr>
                <w:rFonts w:ascii="Arial" w:hAnsi="Arial" w:cs="Arial"/>
                <w:b/>
                <w:sz w:val="18"/>
                <w:szCs w:val="18"/>
              </w:rPr>
            </w:pPr>
            <w:r w:rsidRPr="00270478">
              <w:rPr>
                <w:rFonts w:ascii="Arial" w:hAnsi="Arial" w:cs="Arial"/>
                <w:b/>
                <w:sz w:val="18"/>
                <w:szCs w:val="18"/>
              </w:rPr>
              <w:t>Ámbito</w:t>
            </w:r>
          </w:p>
        </w:tc>
        <w:tc>
          <w:tcPr>
            <w:tcW w:w="1336" w:type="dxa"/>
            <w:vAlign w:val="center"/>
          </w:tcPr>
          <w:p w14:paraId="6D1298DA" w14:textId="77777777" w:rsidR="006B39EC" w:rsidRPr="00270478" w:rsidRDefault="006B39EC" w:rsidP="006B39EC">
            <w:pPr>
              <w:jc w:val="center"/>
              <w:rPr>
                <w:rFonts w:ascii="Arial" w:hAnsi="Arial" w:cs="Arial"/>
                <w:sz w:val="18"/>
                <w:szCs w:val="18"/>
              </w:rPr>
            </w:pPr>
            <w:r w:rsidRPr="00270478">
              <w:rPr>
                <w:rFonts w:ascii="Arial" w:hAnsi="Arial" w:cs="Arial"/>
                <w:b/>
                <w:sz w:val="18"/>
                <w:szCs w:val="18"/>
              </w:rPr>
              <w:t>Frecuencia</w:t>
            </w:r>
          </w:p>
        </w:tc>
        <w:tc>
          <w:tcPr>
            <w:tcW w:w="2419" w:type="dxa"/>
            <w:vAlign w:val="center"/>
          </w:tcPr>
          <w:p w14:paraId="7D7EC520" w14:textId="77777777" w:rsidR="006B39EC" w:rsidRPr="00270478" w:rsidRDefault="006B39EC" w:rsidP="006B39EC">
            <w:pPr>
              <w:jc w:val="center"/>
              <w:rPr>
                <w:rFonts w:ascii="Arial" w:hAnsi="Arial" w:cs="Arial"/>
                <w:sz w:val="18"/>
                <w:szCs w:val="18"/>
              </w:rPr>
            </w:pPr>
            <w:r w:rsidRPr="00270478">
              <w:rPr>
                <w:rFonts w:ascii="Arial" w:hAnsi="Arial" w:cs="Arial"/>
                <w:b/>
                <w:sz w:val="18"/>
                <w:szCs w:val="18"/>
              </w:rPr>
              <w:t>Responsable de la información</w:t>
            </w:r>
          </w:p>
        </w:tc>
        <w:tc>
          <w:tcPr>
            <w:tcW w:w="2450" w:type="dxa"/>
            <w:vAlign w:val="center"/>
          </w:tcPr>
          <w:p w14:paraId="035D460E" w14:textId="77777777" w:rsidR="006B39EC" w:rsidRPr="00270478" w:rsidRDefault="006B39EC" w:rsidP="006B39EC">
            <w:pPr>
              <w:jc w:val="center"/>
              <w:rPr>
                <w:rFonts w:ascii="Arial" w:hAnsi="Arial" w:cs="Arial"/>
                <w:b/>
                <w:sz w:val="18"/>
                <w:szCs w:val="18"/>
              </w:rPr>
            </w:pPr>
            <w:r w:rsidRPr="00270478">
              <w:rPr>
                <w:rFonts w:ascii="Arial" w:hAnsi="Arial" w:cs="Arial"/>
                <w:b/>
                <w:sz w:val="18"/>
                <w:szCs w:val="18"/>
              </w:rPr>
              <w:t>Responsable del cálculo</w:t>
            </w:r>
          </w:p>
        </w:tc>
      </w:tr>
      <w:tr w:rsidR="006B39EC" w:rsidRPr="00270478" w14:paraId="26B87E33" w14:textId="77777777" w:rsidTr="006B39EC">
        <w:trPr>
          <w:trHeight w:val="430"/>
        </w:trPr>
        <w:tc>
          <w:tcPr>
            <w:tcW w:w="1077" w:type="dxa"/>
            <w:vAlign w:val="center"/>
          </w:tcPr>
          <w:p w14:paraId="5A3C146F" w14:textId="77777777" w:rsidR="006B39EC" w:rsidRPr="00270478" w:rsidRDefault="006B39EC" w:rsidP="006B39EC">
            <w:pPr>
              <w:jc w:val="center"/>
              <w:rPr>
                <w:rFonts w:ascii="Arial" w:hAnsi="Arial" w:cs="Arial"/>
                <w:sz w:val="18"/>
                <w:szCs w:val="18"/>
              </w:rPr>
            </w:pPr>
            <w:r w:rsidRPr="00270478">
              <w:rPr>
                <w:rFonts w:ascii="Arial" w:hAnsi="Arial" w:cs="Arial"/>
                <w:sz w:val="18"/>
                <w:szCs w:val="18"/>
              </w:rPr>
              <w:t xml:space="preserve">Porcentaje </w:t>
            </w:r>
          </w:p>
        </w:tc>
        <w:tc>
          <w:tcPr>
            <w:tcW w:w="1357" w:type="dxa"/>
            <w:vAlign w:val="center"/>
          </w:tcPr>
          <w:p w14:paraId="4DE8D7FD" w14:textId="77777777" w:rsidR="006B39EC" w:rsidRPr="00270478" w:rsidRDefault="006B39EC" w:rsidP="006B39EC">
            <w:pPr>
              <w:pStyle w:val="Sinespaciado"/>
              <w:jc w:val="center"/>
              <w:rPr>
                <w:sz w:val="18"/>
                <w:szCs w:val="18"/>
              </w:rPr>
            </w:pPr>
            <w:r w:rsidRPr="00270478">
              <w:rPr>
                <w:rFonts w:ascii="Arial" w:hAnsi="Arial" w:cs="Arial"/>
                <w:sz w:val="18"/>
                <w:szCs w:val="18"/>
              </w:rPr>
              <w:t>Departamento</w:t>
            </w:r>
          </w:p>
        </w:tc>
        <w:tc>
          <w:tcPr>
            <w:tcW w:w="1336" w:type="dxa"/>
            <w:vAlign w:val="center"/>
          </w:tcPr>
          <w:p w14:paraId="78B2F3CD" w14:textId="77777777" w:rsidR="006B39EC" w:rsidRPr="00270478" w:rsidRDefault="006B39EC" w:rsidP="006B39EC">
            <w:pPr>
              <w:jc w:val="center"/>
              <w:rPr>
                <w:rFonts w:ascii="Arial" w:hAnsi="Arial" w:cs="Arial"/>
                <w:sz w:val="18"/>
                <w:szCs w:val="18"/>
              </w:rPr>
            </w:pPr>
            <w:r w:rsidRPr="00270478">
              <w:rPr>
                <w:rFonts w:ascii="Arial" w:hAnsi="Arial" w:cs="Arial"/>
                <w:sz w:val="18"/>
                <w:szCs w:val="18"/>
              </w:rPr>
              <w:t>Trimestral</w:t>
            </w:r>
          </w:p>
        </w:tc>
        <w:tc>
          <w:tcPr>
            <w:tcW w:w="2419" w:type="dxa"/>
            <w:vAlign w:val="center"/>
          </w:tcPr>
          <w:p w14:paraId="043FF916" w14:textId="77777777" w:rsidR="006B39EC" w:rsidRPr="00270478" w:rsidRDefault="006B39EC" w:rsidP="006B39EC">
            <w:pPr>
              <w:jc w:val="center"/>
              <w:rPr>
                <w:rFonts w:ascii="Arial" w:hAnsi="Arial" w:cs="Arial"/>
                <w:sz w:val="18"/>
                <w:szCs w:val="18"/>
              </w:rPr>
            </w:pPr>
            <w:r w:rsidRPr="00270478">
              <w:rPr>
                <w:rFonts w:ascii="Arial" w:hAnsi="Arial" w:cs="Arial"/>
                <w:sz w:val="18"/>
                <w:szCs w:val="18"/>
              </w:rPr>
              <w:t>PNSU, PASLC y PNSR</w:t>
            </w:r>
          </w:p>
        </w:tc>
        <w:tc>
          <w:tcPr>
            <w:tcW w:w="2450" w:type="dxa"/>
            <w:vAlign w:val="center"/>
          </w:tcPr>
          <w:p w14:paraId="25436CFA" w14:textId="77777777" w:rsidR="006B39EC" w:rsidRPr="00270478" w:rsidRDefault="006B39EC" w:rsidP="006B39EC">
            <w:pPr>
              <w:jc w:val="center"/>
              <w:rPr>
                <w:rFonts w:ascii="Arial" w:hAnsi="Arial" w:cs="Arial"/>
                <w:sz w:val="18"/>
                <w:szCs w:val="18"/>
              </w:rPr>
            </w:pPr>
            <w:r w:rsidRPr="00270478">
              <w:rPr>
                <w:rFonts w:ascii="Arial" w:hAnsi="Arial" w:cs="Arial"/>
                <w:sz w:val="18"/>
                <w:szCs w:val="18"/>
              </w:rPr>
              <w:t>OGMEI</w:t>
            </w:r>
          </w:p>
        </w:tc>
      </w:tr>
    </w:tbl>
    <w:p w14:paraId="35203312" w14:textId="2F53F688" w:rsidR="006B39EC" w:rsidRDefault="006B39EC" w:rsidP="006B39EC">
      <w:pPr>
        <w:rPr>
          <w:rFonts w:ascii="Arial" w:hAnsi="Arial" w:cs="Arial"/>
          <w:sz w:val="18"/>
          <w:szCs w:val="20"/>
        </w:rPr>
      </w:pPr>
    </w:p>
    <w:p w14:paraId="432593B3" w14:textId="13A02122" w:rsidR="006B39EC" w:rsidRDefault="006B39EC" w:rsidP="006B39EC">
      <w:pPr>
        <w:rPr>
          <w:rFonts w:ascii="Arial" w:hAnsi="Arial" w:cs="Arial"/>
          <w:sz w:val="18"/>
          <w:szCs w:val="20"/>
        </w:rPr>
      </w:pPr>
    </w:p>
    <w:p w14:paraId="0123C66F" w14:textId="548042D3" w:rsidR="006B39EC" w:rsidRDefault="006B39EC" w:rsidP="006B39EC">
      <w:pPr>
        <w:rPr>
          <w:rFonts w:ascii="Arial" w:hAnsi="Arial" w:cs="Arial"/>
          <w:sz w:val="18"/>
          <w:szCs w:val="20"/>
        </w:rPr>
      </w:pPr>
    </w:p>
    <w:p w14:paraId="579082D3" w14:textId="5DF7CCB7" w:rsidR="006B39EC" w:rsidRDefault="006B39EC" w:rsidP="006B39EC">
      <w:pPr>
        <w:rPr>
          <w:rFonts w:ascii="Arial" w:hAnsi="Arial" w:cs="Arial"/>
          <w:sz w:val="18"/>
          <w:szCs w:val="20"/>
        </w:rPr>
      </w:pPr>
    </w:p>
    <w:p w14:paraId="0675702F" w14:textId="625D7D89" w:rsidR="006B39EC" w:rsidRDefault="006B39EC" w:rsidP="006B39EC">
      <w:pPr>
        <w:rPr>
          <w:rFonts w:ascii="Arial" w:hAnsi="Arial" w:cs="Arial"/>
          <w:sz w:val="18"/>
          <w:szCs w:val="20"/>
        </w:rPr>
      </w:pPr>
    </w:p>
    <w:p w14:paraId="0A65798E" w14:textId="77777777" w:rsidR="006B39EC" w:rsidRPr="006B39EC" w:rsidRDefault="006B39EC" w:rsidP="006B39EC">
      <w:pPr>
        <w:rPr>
          <w:rFonts w:ascii="Arial" w:hAnsi="Arial" w:cs="Arial"/>
          <w:sz w:val="18"/>
          <w:szCs w:val="20"/>
        </w:rPr>
      </w:pPr>
    </w:p>
    <w:tbl>
      <w:tblPr>
        <w:tblStyle w:val="Tablaconcuadrcula"/>
        <w:tblW w:w="8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39"/>
      </w:tblGrid>
      <w:tr w:rsidR="00F244A5" w:rsidRPr="00270478" w14:paraId="1152974A" w14:textId="77777777" w:rsidTr="004419F9">
        <w:trPr>
          <w:trHeight w:val="241"/>
        </w:trPr>
        <w:tc>
          <w:tcPr>
            <w:tcW w:w="8639" w:type="dxa"/>
            <w:tcBorders>
              <w:top w:val="single" w:sz="4" w:space="0" w:color="auto"/>
              <w:left w:val="single" w:sz="4" w:space="0" w:color="auto"/>
              <w:bottom w:val="single" w:sz="4" w:space="0" w:color="auto"/>
              <w:right w:val="single" w:sz="4" w:space="0" w:color="auto"/>
            </w:tcBorders>
            <w:shd w:val="clear" w:color="auto" w:fill="auto"/>
            <w:vAlign w:val="center"/>
          </w:tcPr>
          <w:p w14:paraId="15F92023" w14:textId="77777777" w:rsidR="004419F9" w:rsidRPr="00270478" w:rsidRDefault="004419F9" w:rsidP="005156FC">
            <w:pPr>
              <w:rPr>
                <w:rFonts w:ascii="Arial" w:hAnsi="Arial" w:cs="Arial"/>
                <w:b/>
                <w:sz w:val="18"/>
                <w:szCs w:val="18"/>
              </w:rPr>
            </w:pPr>
            <w:r w:rsidRPr="00270478">
              <w:rPr>
                <w:rFonts w:ascii="Arial" w:hAnsi="Arial" w:cs="Arial"/>
                <w:b/>
                <w:bCs/>
                <w:sz w:val="18"/>
                <w:szCs w:val="18"/>
              </w:rPr>
              <w:t>Definición</w:t>
            </w:r>
          </w:p>
        </w:tc>
      </w:tr>
      <w:tr w:rsidR="00F244A5" w:rsidRPr="00270478" w14:paraId="37DAA2EA" w14:textId="77777777" w:rsidTr="004419F9">
        <w:trPr>
          <w:trHeight w:val="534"/>
        </w:trPr>
        <w:tc>
          <w:tcPr>
            <w:tcW w:w="8639" w:type="dxa"/>
            <w:tcBorders>
              <w:top w:val="single" w:sz="4" w:space="0" w:color="auto"/>
              <w:left w:val="single" w:sz="4" w:space="0" w:color="auto"/>
              <w:bottom w:val="single" w:sz="4" w:space="0" w:color="auto"/>
              <w:right w:val="single" w:sz="4" w:space="0" w:color="auto"/>
            </w:tcBorders>
            <w:shd w:val="clear" w:color="auto" w:fill="auto"/>
            <w:vAlign w:val="center"/>
          </w:tcPr>
          <w:p w14:paraId="2882AAAE" w14:textId="60E54725" w:rsidR="004419F9" w:rsidRPr="00270478" w:rsidRDefault="004419F9" w:rsidP="00270478">
            <w:pPr>
              <w:jc w:val="both"/>
              <w:rPr>
                <w:rFonts w:ascii="Arial" w:hAnsi="Arial" w:cs="Arial"/>
                <w:sz w:val="18"/>
                <w:szCs w:val="18"/>
              </w:rPr>
            </w:pPr>
            <w:r w:rsidRPr="00270478">
              <w:rPr>
                <w:rFonts w:ascii="Arial" w:hAnsi="Arial" w:cs="Arial"/>
                <w:sz w:val="18"/>
                <w:szCs w:val="18"/>
              </w:rPr>
              <w:t xml:space="preserve">El indicador </w:t>
            </w:r>
            <w:r w:rsidR="000F2E7B" w:rsidRPr="00270478">
              <w:rPr>
                <w:rFonts w:ascii="Arial" w:hAnsi="Arial" w:cs="Arial"/>
                <w:sz w:val="18"/>
                <w:szCs w:val="18"/>
              </w:rPr>
              <w:t xml:space="preserve">mide la contribución de </w:t>
            </w:r>
            <w:r w:rsidR="00F577B2" w:rsidRPr="00270478">
              <w:rPr>
                <w:rFonts w:ascii="Arial" w:hAnsi="Arial" w:cs="Arial"/>
                <w:sz w:val="18"/>
                <w:szCs w:val="18"/>
              </w:rPr>
              <w:t xml:space="preserve">la ejecución </w:t>
            </w:r>
            <w:r w:rsidR="00B7051F">
              <w:rPr>
                <w:rFonts w:ascii="Arial" w:hAnsi="Arial" w:cs="Arial"/>
                <w:sz w:val="18"/>
                <w:szCs w:val="18"/>
              </w:rPr>
              <w:t xml:space="preserve">y culminación </w:t>
            </w:r>
            <w:r w:rsidR="00F577B2" w:rsidRPr="00270478">
              <w:rPr>
                <w:rFonts w:ascii="Arial" w:hAnsi="Arial" w:cs="Arial"/>
                <w:sz w:val="18"/>
                <w:szCs w:val="18"/>
              </w:rPr>
              <w:t xml:space="preserve">de proyectos de </w:t>
            </w:r>
            <w:r w:rsidR="00F604AE" w:rsidRPr="00270478">
              <w:rPr>
                <w:rFonts w:ascii="Arial" w:hAnsi="Arial" w:cs="Arial"/>
                <w:sz w:val="18"/>
                <w:szCs w:val="18"/>
              </w:rPr>
              <w:t xml:space="preserve">servicio de agua </w:t>
            </w:r>
            <w:r w:rsidR="003F1D25" w:rsidRPr="00270478">
              <w:rPr>
                <w:rFonts w:ascii="Arial" w:hAnsi="Arial" w:cs="Arial"/>
                <w:sz w:val="18"/>
                <w:szCs w:val="18"/>
              </w:rPr>
              <w:t>del MVCS</w:t>
            </w:r>
            <w:r w:rsidR="00663B54" w:rsidRPr="00270478">
              <w:rPr>
                <w:rFonts w:ascii="Arial" w:hAnsi="Arial" w:cs="Arial"/>
                <w:sz w:val="18"/>
                <w:szCs w:val="18"/>
              </w:rPr>
              <w:t>,</w:t>
            </w:r>
            <w:r w:rsidR="003F1D25" w:rsidRPr="00270478">
              <w:rPr>
                <w:rFonts w:ascii="Arial" w:hAnsi="Arial" w:cs="Arial"/>
                <w:sz w:val="18"/>
                <w:szCs w:val="18"/>
              </w:rPr>
              <w:t xml:space="preserve"> en la reducción de </w:t>
            </w:r>
            <w:r w:rsidR="00F577B2" w:rsidRPr="00270478">
              <w:rPr>
                <w:rFonts w:ascii="Arial" w:hAnsi="Arial" w:cs="Arial"/>
                <w:sz w:val="18"/>
                <w:szCs w:val="18"/>
              </w:rPr>
              <w:t xml:space="preserve">la brecha de </w:t>
            </w:r>
            <w:r w:rsidR="003F1D25" w:rsidRPr="00270478">
              <w:rPr>
                <w:rFonts w:ascii="Arial" w:hAnsi="Arial" w:cs="Arial"/>
                <w:sz w:val="18"/>
                <w:szCs w:val="18"/>
              </w:rPr>
              <w:t xml:space="preserve">acceso a agua por red pública. El resultado mide </w:t>
            </w:r>
            <w:r w:rsidR="00663B54" w:rsidRPr="00270478">
              <w:rPr>
                <w:rFonts w:ascii="Arial" w:hAnsi="Arial" w:cs="Arial"/>
                <w:sz w:val="18"/>
                <w:szCs w:val="18"/>
              </w:rPr>
              <w:t xml:space="preserve">la participación porcentual de la población </w:t>
            </w:r>
            <w:r w:rsidR="00844615" w:rsidRPr="00270478">
              <w:rPr>
                <w:rFonts w:ascii="Arial" w:hAnsi="Arial" w:cs="Arial"/>
                <w:sz w:val="18"/>
                <w:szCs w:val="18"/>
              </w:rPr>
              <w:t>beneficiada</w:t>
            </w:r>
            <w:r w:rsidR="00663B54" w:rsidRPr="00270478">
              <w:rPr>
                <w:rFonts w:ascii="Arial" w:hAnsi="Arial" w:cs="Arial"/>
                <w:sz w:val="18"/>
                <w:szCs w:val="18"/>
              </w:rPr>
              <w:t xml:space="preserve"> con el acceso a red pública producto de la entrega de obras implementadas por el MVCS, respecto </w:t>
            </w:r>
            <w:r w:rsidR="002E5436" w:rsidRPr="00270478">
              <w:rPr>
                <w:rFonts w:ascii="Arial" w:hAnsi="Arial" w:cs="Arial"/>
                <w:sz w:val="18"/>
                <w:szCs w:val="18"/>
              </w:rPr>
              <w:t>a la</w:t>
            </w:r>
            <w:r w:rsidR="00514047" w:rsidRPr="00270478">
              <w:rPr>
                <w:rFonts w:ascii="Arial" w:hAnsi="Arial" w:cs="Arial"/>
                <w:sz w:val="18"/>
                <w:szCs w:val="18"/>
              </w:rPr>
              <w:t xml:space="preserve"> población</w:t>
            </w:r>
            <w:r w:rsidR="006D59B2" w:rsidRPr="00270478">
              <w:rPr>
                <w:rFonts w:ascii="Arial" w:hAnsi="Arial" w:cs="Arial"/>
                <w:sz w:val="18"/>
                <w:szCs w:val="18"/>
              </w:rPr>
              <w:t xml:space="preserve"> total</w:t>
            </w:r>
            <w:r w:rsidR="00514047" w:rsidRPr="00270478">
              <w:rPr>
                <w:rFonts w:ascii="Arial" w:hAnsi="Arial" w:cs="Arial"/>
                <w:sz w:val="18"/>
                <w:szCs w:val="18"/>
              </w:rPr>
              <w:t xml:space="preserve"> s</w:t>
            </w:r>
            <w:r w:rsidR="00844615" w:rsidRPr="00270478">
              <w:rPr>
                <w:rFonts w:ascii="Arial" w:hAnsi="Arial" w:cs="Arial"/>
                <w:sz w:val="18"/>
                <w:szCs w:val="18"/>
              </w:rPr>
              <w:t>in acceso a agua por red pública</w:t>
            </w:r>
            <w:r w:rsidR="00514047" w:rsidRPr="00270478">
              <w:rPr>
                <w:rFonts w:ascii="Arial" w:hAnsi="Arial" w:cs="Arial"/>
                <w:sz w:val="18"/>
                <w:szCs w:val="18"/>
              </w:rPr>
              <w:t>.</w:t>
            </w:r>
          </w:p>
        </w:tc>
      </w:tr>
      <w:tr w:rsidR="00F244A5" w:rsidRPr="00270478" w14:paraId="36E894CB" w14:textId="77777777" w:rsidTr="004419F9">
        <w:trPr>
          <w:trHeight w:val="241"/>
        </w:trPr>
        <w:tc>
          <w:tcPr>
            <w:tcW w:w="8639" w:type="dxa"/>
            <w:tcBorders>
              <w:top w:val="single" w:sz="4" w:space="0" w:color="auto"/>
              <w:left w:val="single" w:sz="4" w:space="0" w:color="auto"/>
              <w:bottom w:val="single" w:sz="4" w:space="0" w:color="auto"/>
              <w:right w:val="single" w:sz="4" w:space="0" w:color="auto"/>
            </w:tcBorders>
            <w:shd w:val="clear" w:color="auto" w:fill="auto"/>
            <w:vAlign w:val="center"/>
          </w:tcPr>
          <w:p w14:paraId="59A8AC58" w14:textId="77777777" w:rsidR="004419F9" w:rsidRPr="00270478" w:rsidRDefault="004419F9" w:rsidP="005156FC">
            <w:pPr>
              <w:rPr>
                <w:rFonts w:ascii="Arial" w:hAnsi="Arial" w:cs="Arial"/>
                <w:b/>
                <w:sz w:val="18"/>
                <w:szCs w:val="18"/>
              </w:rPr>
            </w:pPr>
            <w:r w:rsidRPr="00270478">
              <w:rPr>
                <w:rFonts w:ascii="Arial" w:hAnsi="Arial" w:cs="Arial"/>
                <w:b/>
                <w:bCs/>
                <w:sz w:val="18"/>
                <w:szCs w:val="18"/>
              </w:rPr>
              <w:t>Justificación</w:t>
            </w:r>
          </w:p>
        </w:tc>
      </w:tr>
      <w:tr w:rsidR="00F244A5" w:rsidRPr="00270478" w14:paraId="45B81B2C" w14:textId="77777777" w:rsidTr="004419F9">
        <w:trPr>
          <w:trHeight w:val="241"/>
        </w:trPr>
        <w:tc>
          <w:tcPr>
            <w:tcW w:w="8639" w:type="dxa"/>
            <w:tcBorders>
              <w:top w:val="single" w:sz="4" w:space="0" w:color="auto"/>
              <w:left w:val="single" w:sz="4" w:space="0" w:color="auto"/>
              <w:bottom w:val="single" w:sz="4" w:space="0" w:color="auto"/>
              <w:right w:val="single" w:sz="4" w:space="0" w:color="auto"/>
            </w:tcBorders>
            <w:shd w:val="clear" w:color="auto" w:fill="auto"/>
            <w:vAlign w:val="center"/>
          </w:tcPr>
          <w:p w14:paraId="4F0D2102" w14:textId="0BD49F44" w:rsidR="004419F9" w:rsidRPr="00270478" w:rsidRDefault="00230D59" w:rsidP="00C70DD8">
            <w:pPr>
              <w:jc w:val="both"/>
              <w:rPr>
                <w:rFonts w:ascii="Arial" w:hAnsi="Arial" w:cs="Arial"/>
                <w:sz w:val="18"/>
                <w:szCs w:val="18"/>
              </w:rPr>
            </w:pPr>
            <w:r w:rsidRPr="00270478">
              <w:rPr>
                <w:rFonts w:ascii="Arial" w:hAnsi="Arial" w:cs="Arial"/>
                <w:sz w:val="18"/>
                <w:szCs w:val="18"/>
              </w:rPr>
              <w:t>Las inversiones ejecutadas por el sector tienen como o</w:t>
            </w:r>
            <w:r w:rsidR="00C70DD8" w:rsidRPr="00270478">
              <w:rPr>
                <w:rFonts w:ascii="Arial" w:hAnsi="Arial" w:cs="Arial"/>
                <w:sz w:val="18"/>
                <w:szCs w:val="18"/>
              </w:rPr>
              <w:t>bjetivo contribuir a reducir las</w:t>
            </w:r>
            <w:r w:rsidRPr="00270478">
              <w:rPr>
                <w:rFonts w:ascii="Arial" w:hAnsi="Arial" w:cs="Arial"/>
                <w:sz w:val="18"/>
                <w:szCs w:val="18"/>
              </w:rPr>
              <w:t xml:space="preserve"> brechas de cobertura en los servicios de agua. </w:t>
            </w:r>
            <w:r w:rsidR="004419F9" w:rsidRPr="00270478">
              <w:rPr>
                <w:rFonts w:ascii="Arial" w:hAnsi="Arial" w:cs="Arial"/>
                <w:sz w:val="18"/>
                <w:szCs w:val="18"/>
              </w:rPr>
              <w:t xml:space="preserve">En ese </w:t>
            </w:r>
            <w:r w:rsidRPr="00270478">
              <w:rPr>
                <w:rFonts w:ascii="Arial" w:hAnsi="Arial" w:cs="Arial"/>
                <w:sz w:val="18"/>
                <w:szCs w:val="18"/>
              </w:rPr>
              <w:t xml:space="preserve">sentido, el </w:t>
            </w:r>
            <w:r w:rsidR="004419F9" w:rsidRPr="00270478">
              <w:rPr>
                <w:rFonts w:ascii="Arial" w:hAnsi="Arial" w:cs="Arial"/>
                <w:sz w:val="18"/>
                <w:szCs w:val="18"/>
              </w:rPr>
              <w:t xml:space="preserve">indicador busca </w:t>
            </w:r>
            <w:r w:rsidR="0023523A" w:rsidRPr="00270478">
              <w:rPr>
                <w:rFonts w:ascii="Arial" w:hAnsi="Arial" w:cs="Arial"/>
                <w:sz w:val="18"/>
                <w:szCs w:val="18"/>
              </w:rPr>
              <w:t xml:space="preserve">medir el aporte del sector en la disminución de la brecha de población sin acceso a servicios de agua </w:t>
            </w:r>
            <w:r w:rsidR="00C70DD8" w:rsidRPr="00270478">
              <w:rPr>
                <w:rFonts w:ascii="Arial" w:hAnsi="Arial" w:cs="Arial"/>
                <w:sz w:val="18"/>
                <w:szCs w:val="18"/>
              </w:rPr>
              <w:t>a nivel departamental.</w:t>
            </w:r>
          </w:p>
        </w:tc>
      </w:tr>
      <w:tr w:rsidR="00F244A5" w:rsidRPr="00270478" w14:paraId="0E3A75C1" w14:textId="77777777" w:rsidTr="004419F9">
        <w:trPr>
          <w:trHeight w:val="241"/>
        </w:trPr>
        <w:tc>
          <w:tcPr>
            <w:tcW w:w="8639" w:type="dxa"/>
            <w:tcBorders>
              <w:top w:val="single" w:sz="4" w:space="0" w:color="auto"/>
              <w:left w:val="single" w:sz="4" w:space="0" w:color="auto"/>
              <w:bottom w:val="single" w:sz="4" w:space="0" w:color="auto"/>
              <w:right w:val="single" w:sz="4" w:space="0" w:color="auto"/>
            </w:tcBorders>
            <w:shd w:val="clear" w:color="auto" w:fill="auto"/>
            <w:vAlign w:val="center"/>
          </w:tcPr>
          <w:p w14:paraId="39AF1EB9" w14:textId="77777777" w:rsidR="004419F9" w:rsidRPr="00270478" w:rsidRDefault="004419F9" w:rsidP="005156FC">
            <w:pPr>
              <w:rPr>
                <w:rFonts w:ascii="Arial" w:hAnsi="Arial" w:cs="Arial"/>
                <w:b/>
                <w:sz w:val="18"/>
                <w:szCs w:val="18"/>
              </w:rPr>
            </w:pPr>
            <w:r w:rsidRPr="00270478">
              <w:rPr>
                <w:rFonts w:ascii="Arial" w:hAnsi="Arial" w:cs="Arial"/>
                <w:b/>
                <w:sz w:val="18"/>
                <w:szCs w:val="18"/>
              </w:rPr>
              <w:t>Método de Cálculo</w:t>
            </w:r>
          </w:p>
        </w:tc>
      </w:tr>
      <w:tr w:rsidR="00F244A5" w:rsidRPr="00270478" w14:paraId="672E8056" w14:textId="77777777" w:rsidTr="004419F9">
        <w:trPr>
          <w:trHeight w:val="165"/>
        </w:trPr>
        <w:tc>
          <w:tcPr>
            <w:tcW w:w="8639" w:type="dxa"/>
            <w:tcBorders>
              <w:top w:val="single" w:sz="4" w:space="0" w:color="auto"/>
              <w:left w:val="single" w:sz="4" w:space="0" w:color="auto"/>
              <w:bottom w:val="single" w:sz="4" w:space="0" w:color="auto"/>
              <w:right w:val="single" w:sz="4" w:space="0" w:color="auto"/>
            </w:tcBorders>
            <w:vAlign w:val="center"/>
          </w:tcPr>
          <w:p w14:paraId="79F5B0C2" w14:textId="77777777" w:rsidR="00A51E54" w:rsidRPr="00270478" w:rsidRDefault="00A51E54" w:rsidP="00A51E54">
            <w:pPr>
              <w:rPr>
                <w:rFonts w:ascii="Arial" w:eastAsiaTheme="minorEastAsia" w:hAnsi="Arial" w:cs="Arial"/>
                <w:sz w:val="18"/>
                <w:szCs w:val="18"/>
              </w:rPr>
            </w:pPr>
          </w:p>
          <w:p w14:paraId="7CC5B9BE" w14:textId="33911BD5" w:rsidR="00A51E54" w:rsidRPr="00270478" w:rsidRDefault="00514047" w:rsidP="00A51E54">
            <w:pPr>
              <w:rPr>
                <w:rFonts w:ascii="Arial" w:hAnsi="Arial" w:cs="Arial"/>
                <w:sz w:val="18"/>
                <w:szCs w:val="18"/>
              </w:rPr>
            </w:pPr>
            <m:oMathPara>
              <m:oMath>
                <m:r>
                  <w:rPr>
                    <w:rFonts w:ascii="Cambria Math" w:hAnsi="Cambria Math" w:cs="Arial"/>
                    <w:sz w:val="18"/>
                    <w:szCs w:val="18"/>
                  </w:rPr>
                  <m:t>Formula=</m:t>
                </m:r>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BNF</m:t>
                        </m:r>
                      </m:e>
                      <m:sub>
                        <m:r>
                          <w:rPr>
                            <w:rFonts w:ascii="Cambria Math" w:hAnsi="Cambria Math" w:cs="Arial"/>
                            <w:sz w:val="18"/>
                            <w:szCs w:val="18"/>
                          </w:rPr>
                          <m:t>t</m:t>
                        </m:r>
                      </m:sub>
                    </m:sSub>
                  </m:num>
                  <m:den>
                    <m:r>
                      <w:rPr>
                        <w:rFonts w:ascii="Cambria Math" w:hAnsi="Cambria Math" w:cs="Arial"/>
                        <w:sz w:val="18"/>
                        <w:szCs w:val="18"/>
                      </w:rPr>
                      <m:t>X</m:t>
                    </m:r>
                  </m:den>
                </m:f>
              </m:oMath>
            </m:oMathPara>
          </w:p>
          <w:p w14:paraId="4873AF46" w14:textId="77777777" w:rsidR="00A51E54" w:rsidRPr="00270478" w:rsidRDefault="00A51E54" w:rsidP="00A51E54">
            <w:pPr>
              <w:rPr>
                <w:rFonts w:ascii="Arial" w:hAnsi="Arial" w:cs="Arial"/>
                <w:sz w:val="18"/>
                <w:szCs w:val="18"/>
              </w:rPr>
            </w:pPr>
            <w:r w:rsidRPr="00270478">
              <w:rPr>
                <w:rFonts w:ascii="Arial" w:hAnsi="Arial" w:cs="Arial"/>
                <w:sz w:val="18"/>
                <w:szCs w:val="18"/>
              </w:rPr>
              <w:t>Donde:</w:t>
            </w:r>
          </w:p>
          <w:p w14:paraId="4B1CA06E" w14:textId="0362F33B" w:rsidR="00514047" w:rsidRPr="00270478" w:rsidRDefault="00514047" w:rsidP="00A51E54">
            <w:pPr>
              <w:ind w:left="313" w:hanging="291"/>
              <w:rPr>
                <w:rFonts w:ascii="Arial" w:hAnsi="Arial" w:cs="Arial"/>
                <w:sz w:val="18"/>
                <w:szCs w:val="18"/>
              </w:rPr>
            </w:pPr>
            <w:r w:rsidRPr="00270478">
              <w:rPr>
                <w:rFonts w:ascii="Arial" w:hAnsi="Arial" w:cs="Arial"/>
                <w:sz w:val="18"/>
                <w:szCs w:val="18"/>
              </w:rPr>
              <w:t>BNF= Beneficiarios de las obras ejecutadas y entregadas por el MVCS sobre el servicio de agua</w:t>
            </w:r>
          </w:p>
          <w:p w14:paraId="1917F702" w14:textId="53525157" w:rsidR="00A51E54" w:rsidRPr="00270478" w:rsidRDefault="00A51E54" w:rsidP="00A51E54">
            <w:pPr>
              <w:ind w:left="313" w:hanging="291"/>
              <w:rPr>
                <w:rFonts w:ascii="Arial" w:hAnsi="Arial" w:cs="Arial"/>
                <w:sz w:val="18"/>
                <w:szCs w:val="18"/>
              </w:rPr>
            </w:pPr>
            <w:r w:rsidRPr="00270478">
              <w:rPr>
                <w:rFonts w:ascii="Arial" w:hAnsi="Arial" w:cs="Arial"/>
                <w:sz w:val="18"/>
                <w:szCs w:val="18"/>
              </w:rPr>
              <w:t xml:space="preserve">X = Población sin acceso a agua </w:t>
            </w:r>
            <w:r w:rsidR="00514047" w:rsidRPr="00270478">
              <w:rPr>
                <w:rFonts w:ascii="Arial" w:hAnsi="Arial" w:cs="Arial"/>
                <w:sz w:val="18"/>
                <w:szCs w:val="18"/>
              </w:rPr>
              <w:t>por red pública</w:t>
            </w:r>
            <w:r w:rsidR="00880E18" w:rsidRPr="00270478">
              <w:rPr>
                <w:rFonts w:ascii="Arial" w:hAnsi="Arial" w:cs="Arial"/>
                <w:sz w:val="18"/>
                <w:szCs w:val="18"/>
              </w:rPr>
              <w:t xml:space="preserve"> (brecha de acceso a agua por red pública, se considera el dato del año</w:t>
            </w:r>
            <w:r w:rsidR="00FE53E0" w:rsidRPr="00270478">
              <w:rPr>
                <w:rFonts w:ascii="Arial" w:hAnsi="Arial" w:cs="Arial"/>
                <w:sz w:val="18"/>
                <w:szCs w:val="18"/>
              </w:rPr>
              <w:t xml:space="preserve"> más reciente</w:t>
            </w:r>
            <w:r w:rsidR="00880E18" w:rsidRPr="00270478">
              <w:rPr>
                <w:rFonts w:ascii="Arial" w:hAnsi="Arial" w:cs="Arial"/>
                <w:sz w:val="18"/>
                <w:szCs w:val="18"/>
              </w:rPr>
              <w:t>)</w:t>
            </w:r>
          </w:p>
          <w:p w14:paraId="7C58F0FA" w14:textId="73D8FCFF" w:rsidR="00A51E54" w:rsidRPr="00270478" w:rsidRDefault="00A51E54" w:rsidP="00A51E54">
            <w:pPr>
              <w:rPr>
                <w:rFonts w:ascii="Arial" w:hAnsi="Arial" w:cs="Arial"/>
                <w:sz w:val="18"/>
                <w:szCs w:val="18"/>
              </w:rPr>
            </w:pPr>
            <w:r w:rsidRPr="00270478">
              <w:rPr>
                <w:rFonts w:ascii="Arial" w:hAnsi="Arial" w:cs="Arial"/>
                <w:sz w:val="18"/>
                <w:szCs w:val="18"/>
              </w:rPr>
              <w:t xml:space="preserve">t: </w:t>
            </w:r>
            <w:r w:rsidR="00FE53E0" w:rsidRPr="00270478">
              <w:rPr>
                <w:rFonts w:ascii="Arial" w:hAnsi="Arial" w:cs="Arial"/>
                <w:sz w:val="18"/>
                <w:szCs w:val="18"/>
              </w:rPr>
              <w:t>trimestre</w:t>
            </w:r>
          </w:p>
          <w:p w14:paraId="6223114E" w14:textId="77777777" w:rsidR="00A51E54" w:rsidRPr="00270478" w:rsidRDefault="00A51E54" w:rsidP="005156FC">
            <w:pPr>
              <w:rPr>
                <w:rFonts w:ascii="Arial" w:hAnsi="Arial" w:cs="Arial"/>
                <w:sz w:val="18"/>
                <w:szCs w:val="18"/>
              </w:rPr>
            </w:pPr>
          </w:p>
          <w:p w14:paraId="588DC8C6" w14:textId="77777777" w:rsidR="004419F9" w:rsidRPr="00270478" w:rsidRDefault="004419F9" w:rsidP="005156FC">
            <w:pPr>
              <w:rPr>
                <w:rFonts w:ascii="Arial" w:hAnsi="Arial" w:cs="Arial"/>
                <w:b/>
                <w:sz w:val="18"/>
                <w:szCs w:val="18"/>
              </w:rPr>
            </w:pPr>
            <w:r w:rsidRPr="00270478">
              <w:rPr>
                <w:rFonts w:ascii="Arial" w:hAnsi="Arial" w:cs="Arial"/>
                <w:b/>
                <w:sz w:val="18"/>
                <w:szCs w:val="18"/>
              </w:rPr>
              <w:t>Precisiones:</w:t>
            </w:r>
          </w:p>
          <w:p w14:paraId="525C2AC5" w14:textId="4E23B21C" w:rsidR="004419F9" w:rsidRPr="00270478" w:rsidRDefault="00A51E54" w:rsidP="00FA2802">
            <w:pPr>
              <w:pStyle w:val="Prrafodelista"/>
              <w:numPr>
                <w:ilvl w:val="0"/>
                <w:numId w:val="1"/>
              </w:numPr>
              <w:ind w:left="313" w:hanging="219"/>
              <w:jc w:val="both"/>
              <w:rPr>
                <w:rFonts w:ascii="Arial" w:hAnsi="Arial" w:cs="Arial"/>
                <w:sz w:val="18"/>
                <w:szCs w:val="18"/>
              </w:rPr>
            </w:pPr>
            <w:r w:rsidRPr="00270478">
              <w:rPr>
                <w:rFonts w:ascii="Arial" w:hAnsi="Arial" w:cs="Arial"/>
                <w:sz w:val="18"/>
                <w:szCs w:val="18"/>
              </w:rPr>
              <w:t xml:space="preserve">La nueva población </w:t>
            </w:r>
            <w:r w:rsidR="00701522" w:rsidRPr="00270478">
              <w:rPr>
                <w:rFonts w:ascii="Arial" w:hAnsi="Arial" w:cs="Arial"/>
                <w:sz w:val="18"/>
                <w:szCs w:val="18"/>
              </w:rPr>
              <w:t xml:space="preserve">con </w:t>
            </w:r>
            <w:r w:rsidRPr="00270478">
              <w:rPr>
                <w:rFonts w:ascii="Arial" w:hAnsi="Arial" w:cs="Arial"/>
                <w:sz w:val="18"/>
                <w:szCs w:val="18"/>
              </w:rPr>
              <w:t>acceso a servicios de agua corresponde a la población beneficiada por inversiones del sector</w:t>
            </w:r>
            <w:r w:rsidR="004419F9" w:rsidRPr="00270478">
              <w:rPr>
                <w:rFonts w:ascii="Arial" w:hAnsi="Arial" w:cs="Arial"/>
                <w:sz w:val="18"/>
                <w:szCs w:val="18"/>
              </w:rPr>
              <w:t xml:space="preserve"> </w:t>
            </w:r>
            <w:r w:rsidR="00FA2802" w:rsidRPr="00270478">
              <w:rPr>
                <w:rFonts w:ascii="Arial" w:hAnsi="Arial" w:cs="Arial"/>
                <w:sz w:val="18"/>
                <w:szCs w:val="18"/>
              </w:rPr>
              <w:t>(</w:t>
            </w:r>
            <w:r w:rsidR="00E353B4" w:rsidRPr="00270478">
              <w:rPr>
                <w:rFonts w:ascii="Arial" w:hAnsi="Arial" w:cs="Arial"/>
                <w:sz w:val="18"/>
                <w:szCs w:val="18"/>
              </w:rPr>
              <w:t xml:space="preserve">PNSR, </w:t>
            </w:r>
            <w:r w:rsidR="004419F9" w:rsidRPr="00270478">
              <w:rPr>
                <w:rFonts w:ascii="Arial" w:hAnsi="Arial" w:cs="Arial"/>
                <w:sz w:val="18"/>
                <w:szCs w:val="18"/>
              </w:rPr>
              <w:t>PNSU y PASLC</w:t>
            </w:r>
            <w:r w:rsidR="00FA2802" w:rsidRPr="00270478">
              <w:rPr>
                <w:rFonts w:ascii="Arial" w:hAnsi="Arial" w:cs="Arial"/>
                <w:sz w:val="18"/>
                <w:szCs w:val="18"/>
              </w:rPr>
              <w:t>)</w:t>
            </w:r>
            <w:r w:rsidR="004419F9" w:rsidRPr="00270478">
              <w:rPr>
                <w:rFonts w:ascii="Arial" w:hAnsi="Arial" w:cs="Arial"/>
                <w:sz w:val="18"/>
                <w:szCs w:val="18"/>
              </w:rPr>
              <w:t xml:space="preserve"> </w:t>
            </w:r>
            <w:r w:rsidR="00F43993" w:rsidRPr="00270478">
              <w:rPr>
                <w:rFonts w:ascii="Arial" w:hAnsi="Arial" w:cs="Arial"/>
                <w:sz w:val="18"/>
                <w:szCs w:val="18"/>
              </w:rPr>
              <w:t xml:space="preserve">a nivel </w:t>
            </w:r>
            <w:r w:rsidR="00514047" w:rsidRPr="00270478">
              <w:rPr>
                <w:rFonts w:ascii="Arial" w:hAnsi="Arial" w:cs="Arial"/>
                <w:sz w:val="18"/>
                <w:szCs w:val="18"/>
              </w:rPr>
              <w:t>departamental</w:t>
            </w:r>
            <w:r w:rsidR="00F43993" w:rsidRPr="00270478">
              <w:rPr>
                <w:rFonts w:ascii="Arial" w:hAnsi="Arial" w:cs="Arial"/>
                <w:sz w:val="18"/>
                <w:szCs w:val="18"/>
              </w:rPr>
              <w:t xml:space="preserve"> </w:t>
            </w:r>
            <w:r w:rsidR="004419F9" w:rsidRPr="00270478">
              <w:rPr>
                <w:rFonts w:ascii="Arial" w:hAnsi="Arial" w:cs="Arial"/>
                <w:sz w:val="18"/>
                <w:szCs w:val="18"/>
              </w:rPr>
              <w:t>en la modalidad directa o por transferencia.</w:t>
            </w:r>
          </w:p>
          <w:p w14:paraId="60226344" w14:textId="609E7AB9" w:rsidR="004419F9" w:rsidRPr="00270478" w:rsidRDefault="004419F9" w:rsidP="006030A2">
            <w:pPr>
              <w:pStyle w:val="Prrafodelista"/>
              <w:numPr>
                <w:ilvl w:val="0"/>
                <w:numId w:val="1"/>
              </w:numPr>
              <w:ind w:left="313" w:hanging="219"/>
              <w:rPr>
                <w:rFonts w:ascii="Arial" w:hAnsi="Arial" w:cs="Arial"/>
                <w:sz w:val="18"/>
                <w:szCs w:val="18"/>
              </w:rPr>
            </w:pPr>
            <w:r w:rsidRPr="00270478">
              <w:rPr>
                <w:rFonts w:ascii="Arial" w:hAnsi="Arial" w:cs="Arial"/>
                <w:sz w:val="18"/>
                <w:szCs w:val="18"/>
              </w:rPr>
              <w:t xml:space="preserve">Incluye los </w:t>
            </w:r>
            <w:r w:rsidRPr="00B072DB">
              <w:rPr>
                <w:rFonts w:ascii="Arial" w:hAnsi="Arial" w:cs="Arial"/>
                <w:sz w:val="18"/>
                <w:szCs w:val="18"/>
              </w:rPr>
              <w:t xml:space="preserve">proyectos </w:t>
            </w:r>
            <w:proofErr w:type="spellStart"/>
            <w:r w:rsidR="00B072DB" w:rsidRPr="00B072DB">
              <w:rPr>
                <w:rFonts w:ascii="Arial" w:hAnsi="Arial" w:cs="Arial"/>
                <w:sz w:val="18"/>
                <w:szCs w:val="18"/>
              </w:rPr>
              <w:t>r</w:t>
            </w:r>
            <w:r w:rsidR="00514047" w:rsidRPr="00B072DB">
              <w:rPr>
                <w:rFonts w:ascii="Arial" w:hAnsi="Arial" w:cs="Arial"/>
                <w:sz w:val="18"/>
                <w:szCs w:val="18"/>
              </w:rPr>
              <w:t>ecepcionados</w:t>
            </w:r>
            <w:proofErr w:type="spellEnd"/>
            <w:r w:rsidR="006030A2" w:rsidRPr="00270478">
              <w:rPr>
                <w:rFonts w:ascii="Arial" w:hAnsi="Arial" w:cs="Arial"/>
                <w:sz w:val="18"/>
                <w:szCs w:val="18"/>
              </w:rPr>
              <w:t xml:space="preserve"> en</w:t>
            </w:r>
            <w:r w:rsidRPr="00270478">
              <w:rPr>
                <w:rFonts w:ascii="Arial" w:hAnsi="Arial" w:cs="Arial"/>
                <w:sz w:val="18"/>
                <w:szCs w:val="18"/>
              </w:rPr>
              <w:t xml:space="preserve"> el periodo de medición.</w:t>
            </w:r>
          </w:p>
          <w:p w14:paraId="51F961EC" w14:textId="6190DC21" w:rsidR="00880E18" w:rsidRPr="00270478" w:rsidRDefault="00880E18" w:rsidP="006030A2">
            <w:pPr>
              <w:pStyle w:val="Prrafodelista"/>
              <w:numPr>
                <w:ilvl w:val="0"/>
                <w:numId w:val="1"/>
              </w:numPr>
              <w:ind w:left="313" w:hanging="219"/>
              <w:rPr>
                <w:rFonts w:ascii="Arial" w:hAnsi="Arial" w:cs="Arial"/>
                <w:sz w:val="18"/>
                <w:szCs w:val="18"/>
              </w:rPr>
            </w:pPr>
            <w:r w:rsidRPr="00270478">
              <w:rPr>
                <w:rFonts w:ascii="Arial" w:hAnsi="Arial" w:cs="Arial"/>
                <w:sz w:val="18"/>
                <w:szCs w:val="18"/>
              </w:rPr>
              <w:t xml:space="preserve">Red pública, incluye agua por red pública dentro de la vivienda, fuera de la </w:t>
            </w:r>
            <w:proofErr w:type="gramStart"/>
            <w:r w:rsidRPr="00270478">
              <w:rPr>
                <w:rFonts w:ascii="Arial" w:hAnsi="Arial" w:cs="Arial"/>
                <w:sz w:val="18"/>
                <w:szCs w:val="18"/>
              </w:rPr>
              <w:t>vivienda</w:t>
            </w:r>
            <w:proofErr w:type="gramEnd"/>
            <w:r w:rsidRPr="00270478">
              <w:rPr>
                <w:rFonts w:ascii="Arial" w:hAnsi="Arial" w:cs="Arial"/>
                <w:sz w:val="18"/>
                <w:szCs w:val="18"/>
              </w:rPr>
              <w:t xml:space="preserve"> pero dentro de la edificación o pilón de uso público</w:t>
            </w:r>
          </w:p>
        </w:tc>
      </w:tr>
      <w:tr w:rsidR="00F244A5" w:rsidRPr="00270478" w14:paraId="1F3A8C21" w14:textId="77777777" w:rsidTr="004419F9">
        <w:trPr>
          <w:trHeight w:val="173"/>
        </w:trPr>
        <w:tc>
          <w:tcPr>
            <w:tcW w:w="8639" w:type="dxa"/>
            <w:tcBorders>
              <w:top w:val="single" w:sz="4" w:space="0" w:color="auto"/>
              <w:left w:val="single" w:sz="4" w:space="0" w:color="auto"/>
              <w:bottom w:val="single" w:sz="4" w:space="0" w:color="auto"/>
              <w:right w:val="single" w:sz="4" w:space="0" w:color="auto"/>
            </w:tcBorders>
            <w:vAlign w:val="center"/>
          </w:tcPr>
          <w:p w14:paraId="7DFE48C4" w14:textId="77777777" w:rsidR="004419F9" w:rsidRPr="00270478" w:rsidRDefault="004419F9" w:rsidP="005156FC">
            <w:pPr>
              <w:rPr>
                <w:rFonts w:ascii="Arial" w:hAnsi="Arial" w:cs="Arial"/>
                <w:sz w:val="18"/>
                <w:szCs w:val="18"/>
              </w:rPr>
            </w:pPr>
            <w:r w:rsidRPr="00270478">
              <w:rPr>
                <w:rFonts w:ascii="Arial" w:hAnsi="Arial" w:cs="Arial"/>
                <w:b/>
                <w:bCs/>
                <w:sz w:val="18"/>
                <w:szCs w:val="18"/>
              </w:rPr>
              <w:t>Limitaciones del indicador</w:t>
            </w:r>
          </w:p>
        </w:tc>
      </w:tr>
      <w:tr w:rsidR="00F244A5" w:rsidRPr="00270478" w14:paraId="42B27462" w14:textId="77777777" w:rsidTr="004419F9">
        <w:trPr>
          <w:trHeight w:val="218"/>
        </w:trPr>
        <w:tc>
          <w:tcPr>
            <w:tcW w:w="8639" w:type="dxa"/>
            <w:tcBorders>
              <w:top w:val="single" w:sz="4" w:space="0" w:color="auto"/>
              <w:left w:val="single" w:sz="4" w:space="0" w:color="auto"/>
              <w:bottom w:val="single" w:sz="4" w:space="0" w:color="auto"/>
              <w:right w:val="single" w:sz="4" w:space="0" w:color="auto"/>
            </w:tcBorders>
            <w:vAlign w:val="center"/>
          </w:tcPr>
          <w:p w14:paraId="241E8A75" w14:textId="235004ED" w:rsidR="004419F9" w:rsidRPr="00270478" w:rsidRDefault="00FE53E0" w:rsidP="005156FC">
            <w:pPr>
              <w:pStyle w:val="Prrafodelista"/>
              <w:numPr>
                <w:ilvl w:val="0"/>
                <w:numId w:val="2"/>
              </w:numPr>
              <w:ind w:left="447"/>
              <w:rPr>
                <w:rFonts w:ascii="Arial" w:hAnsi="Arial" w:cs="Arial"/>
                <w:sz w:val="18"/>
                <w:szCs w:val="18"/>
              </w:rPr>
            </w:pPr>
            <w:r w:rsidRPr="00270478">
              <w:rPr>
                <w:rFonts w:ascii="Arial" w:hAnsi="Arial" w:cs="Arial"/>
                <w:sz w:val="18"/>
                <w:szCs w:val="18"/>
              </w:rPr>
              <w:t xml:space="preserve">La brecha de acceso a agua potable por red pública </w:t>
            </w:r>
            <w:r w:rsidR="001623E5" w:rsidRPr="00270478">
              <w:rPr>
                <w:rFonts w:ascii="Arial" w:hAnsi="Arial" w:cs="Arial"/>
                <w:sz w:val="18"/>
                <w:szCs w:val="18"/>
              </w:rPr>
              <w:t>se reporta con un año de rezago y su publicación depende de la publicación de datos del INEI.</w:t>
            </w:r>
          </w:p>
        </w:tc>
      </w:tr>
      <w:tr w:rsidR="00F244A5" w:rsidRPr="00270478" w14:paraId="34C55342" w14:textId="77777777" w:rsidTr="004419F9">
        <w:trPr>
          <w:trHeight w:val="173"/>
        </w:trPr>
        <w:tc>
          <w:tcPr>
            <w:tcW w:w="8639" w:type="dxa"/>
            <w:tcBorders>
              <w:top w:val="single" w:sz="4" w:space="0" w:color="auto"/>
              <w:left w:val="single" w:sz="4" w:space="0" w:color="auto"/>
              <w:bottom w:val="single" w:sz="4" w:space="0" w:color="auto"/>
              <w:right w:val="single" w:sz="4" w:space="0" w:color="auto"/>
            </w:tcBorders>
            <w:vAlign w:val="center"/>
          </w:tcPr>
          <w:p w14:paraId="5327B130" w14:textId="77777777" w:rsidR="004419F9" w:rsidRPr="00270478" w:rsidRDefault="004419F9" w:rsidP="005156FC">
            <w:pPr>
              <w:rPr>
                <w:rFonts w:ascii="Arial" w:hAnsi="Arial" w:cs="Arial"/>
                <w:sz w:val="18"/>
                <w:szCs w:val="18"/>
              </w:rPr>
            </w:pPr>
            <w:r w:rsidRPr="00270478">
              <w:rPr>
                <w:rFonts w:ascii="Arial" w:hAnsi="Arial" w:cs="Arial"/>
                <w:b/>
                <w:bCs/>
                <w:sz w:val="18"/>
                <w:szCs w:val="18"/>
              </w:rPr>
              <w:t xml:space="preserve">Supuestos </w:t>
            </w:r>
          </w:p>
        </w:tc>
      </w:tr>
      <w:tr w:rsidR="00F244A5" w:rsidRPr="00270478" w14:paraId="5A7E90F2" w14:textId="77777777" w:rsidTr="00A51E54">
        <w:trPr>
          <w:trHeight w:val="236"/>
        </w:trPr>
        <w:tc>
          <w:tcPr>
            <w:tcW w:w="8639" w:type="dxa"/>
            <w:tcBorders>
              <w:top w:val="single" w:sz="4" w:space="0" w:color="auto"/>
              <w:left w:val="single" w:sz="4" w:space="0" w:color="auto"/>
              <w:bottom w:val="single" w:sz="4" w:space="0" w:color="auto"/>
              <w:right w:val="single" w:sz="4" w:space="0" w:color="auto"/>
            </w:tcBorders>
            <w:vAlign w:val="center"/>
          </w:tcPr>
          <w:p w14:paraId="1117D622" w14:textId="77777777" w:rsidR="004419F9" w:rsidRPr="00270478" w:rsidRDefault="004419F9" w:rsidP="00A51E54">
            <w:pPr>
              <w:pStyle w:val="Prrafodelista"/>
              <w:numPr>
                <w:ilvl w:val="0"/>
                <w:numId w:val="2"/>
              </w:numPr>
              <w:ind w:left="312" w:hanging="227"/>
              <w:contextualSpacing w:val="0"/>
              <w:rPr>
                <w:rFonts w:ascii="Arial" w:hAnsi="Arial" w:cs="Arial"/>
                <w:sz w:val="18"/>
                <w:szCs w:val="18"/>
              </w:rPr>
            </w:pPr>
            <w:r w:rsidRPr="00270478">
              <w:rPr>
                <w:rFonts w:ascii="Arial" w:hAnsi="Arial" w:cs="Arial"/>
                <w:sz w:val="18"/>
                <w:szCs w:val="18"/>
              </w:rPr>
              <w:t>Se mant</w:t>
            </w:r>
            <w:r w:rsidR="006030A2" w:rsidRPr="00270478">
              <w:rPr>
                <w:rFonts w:ascii="Arial" w:hAnsi="Arial" w:cs="Arial"/>
                <w:sz w:val="18"/>
                <w:szCs w:val="18"/>
              </w:rPr>
              <w:t>i</w:t>
            </w:r>
            <w:r w:rsidRPr="00270478">
              <w:rPr>
                <w:rFonts w:ascii="Arial" w:hAnsi="Arial" w:cs="Arial"/>
                <w:sz w:val="18"/>
                <w:szCs w:val="18"/>
              </w:rPr>
              <w:t>en</w:t>
            </w:r>
            <w:r w:rsidR="006030A2" w:rsidRPr="00270478">
              <w:rPr>
                <w:rFonts w:ascii="Arial" w:hAnsi="Arial" w:cs="Arial"/>
                <w:sz w:val="18"/>
                <w:szCs w:val="18"/>
              </w:rPr>
              <w:t xml:space="preserve">e </w:t>
            </w:r>
            <w:r w:rsidRPr="00270478">
              <w:rPr>
                <w:rFonts w:ascii="Arial" w:hAnsi="Arial" w:cs="Arial"/>
                <w:sz w:val="18"/>
                <w:szCs w:val="18"/>
              </w:rPr>
              <w:t xml:space="preserve">actualizada la base de datos del SSP. </w:t>
            </w:r>
          </w:p>
        </w:tc>
      </w:tr>
      <w:tr w:rsidR="00F244A5" w:rsidRPr="00270478" w14:paraId="343D93F1" w14:textId="77777777" w:rsidTr="004419F9">
        <w:trPr>
          <w:trHeight w:val="173"/>
        </w:trPr>
        <w:tc>
          <w:tcPr>
            <w:tcW w:w="8639" w:type="dxa"/>
            <w:tcBorders>
              <w:top w:val="single" w:sz="4" w:space="0" w:color="auto"/>
              <w:left w:val="single" w:sz="4" w:space="0" w:color="auto"/>
              <w:bottom w:val="single" w:sz="4" w:space="0" w:color="auto"/>
              <w:right w:val="single" w:sz="4" w:space="0" w:color="auto"/>
            </w:tcBorders>
            <w:vAlign w:val="center"/>
          </w:tcPr>
          <w:p w14:paraId="448B6F67" w14:textId="77777777" w:rsidR="004419F9" w:rsidRPr="00270478" w:rsidRDefault="004419F9" w:rsidP="005156FC">
            <w:pPr>
              <w:rPr>
                <w:rFonts w:ascii="Arial" w:hAnsi="Arial" w:cs="Arial"/>
                <w:sz w:val="18"/>
                <w:szCs w:val="18"/>
              </w:rPr>
            </w:pPr>
            <w:r w:rsidRPr="00270478">
              <w:rPr>
                <w:rFonts w:ascii="Arial" w:hAnsi="Arial" w:cs="Arial"/>
                <w:b/>
                <w:bCs/>
                <w:sz w:val="18"/>
                <w:szCs w:val="18"/>
              </w:rPr>
              <w:t>Fuente y base de datos</w:t>
            </w:r>
          </w:p>
        </w:tc>
      </w:tr>
      <w:tr w:rsidR="00126AA5" w:rsidRPr="00270478" w14:paraId="71C41261" w14:textId="77777777" w:rsidTr="004419F9">
        <w:trPr>
          <w:trHeight w:val="448"/>
        </w:trPr>
        <w:tc>
          <w:tcPr>
            <w:tcW w:w="8639" w:type="dxa"/>
            <w:tcBorders>
              <w:top w:val="single" w:sz="4" w:space="0" w:color="auto"/>
              <w:left w:val="single" w:sz="4" w:space="0" w:color="auto"/>
              <w:bottom w:val="single" w:sz="4" w:space="0" w:color="auto"/>
              <w:right w:val="single" w:sz="4" w:space="0" w:color="auto"/>
            </w:tcBorders>
            <w:vAlign w:val="center"/>
          </w:tcPr>
          <w:p w14:paraId="47DD09CC" w14:textId="6D8D0523" w:rsidR="006030A2" w:rsidRPr="00270478" w:rsidRDefault="00DC1F77" w:rsidP="006030A2">
            <w:pPr>
              <w:rPr>
                <w:rFonts w:ascii="Arial" w:hAnsi="Arial" w:cs="Arial"/>
                <w:sz w:val="18"/>
                <w:szCs w:val="18"/>
              </w:rPr>
            </w:pPr>
            <w:r w:rsidRPr="00270478">
              <w:rPr>
                <w:rFonts w:ascii="Arial" w:hAnsi="Arial" w:cs="Arial"/>
                <w:sz w:val="18"/>
                <w:szCs w:val="18"/>
              </w:rPr>
              <w:t>Sistema de Seguimiento de Proyectos del MVCS - SSP</w:t>
            </w:r>
            <w:r w:rsidR="006030A2" w:rsidRPr="00270478">
              <w:rPr>
                <w:rFonts w:ascii="Arial" w:hAnsi="Arial" w:cs="Arial"/>
                <w:sz w:val="18"/>
                <w:szCs w:val="18"/>
              </w:rPr>
              <w:t>.</w:t>
            </w:r>
          </w:p>
          <w:p w14:paraId="65470CD4" w14:textId="585D44F9" w:rsidR="002F5386" w:rsidRPr="00270478" w:rsidRDefault="001623E5" w:rsidP="006030A2">
            <w:pPr>
              <w:rPr>
                <w:rFonts w:ascii="Arial" w:hAnsi="Arial" w:cs="Arial"/>
                <w:sz w:val="18"/>
                <w:szCs w:val="18"/>
              </w:rPr>
            </w:pPr>
            <w:r w:rsidRPr="00270478">
              <w:rPr>
                <w:rFonts w:ascii="Arial" w:hAnsi="Arial" w:cs="Arial"/>
                <w:sz w:val="18"/>
                <w:szCs w:val="18"/>
              </w:rPr>
              <w:t>Base de datos de Brecha del sector de OGEI</w:t>
            </w:r>
          </w:p>
        </w:tc>
      </w:tr>
    </w:tbl>
    <w:p w14:paraId="64600603" w14:textId="77777777" w:rsidR="00C52200" w:rsidRDefault="00C52200">
      <w:pPr>
        <w:rPr>
          <w:rFonts w:ascii="Arial" w:hAnsi="Arial" w:cs="Arial"/>
          <w:sz w:val="18"/>
        </w:rPr>
      </w:pPr>
    </w:p>
    <w:p w14:paraId="3355FA3B" w14:textId="77777777" w:rsidR="006D59B2" w:rsidRDefault="006D59B2">
      <w:pPr>
        <w:rPr>
          <w:rFonts w:ascii="Arial" w:hAnsi="Arial" w:cs="Arial"/>
          <w:sz w:val="18"/>
        </w:rPr>
      </w:pPr>
    </w:p>
    <w:p w14:paraId="046D86CC" w14:textId="77777777" w:rsidR="006D59B2" w:rsidRDefault="006D59B2">
      <w:pPr>
        <w:rPr>
          <w:rFonts w:ascii="Arial" w:hAnsi="Arial" w:cs="Arial"/>
          <w:sz w:val="18"/>
        </w:rPr>
      </w:pPr>
    </w:p>
    <w:p w14:paraId="78D90005" w14:textId="77777777" w:rsidR="006D59B2" w:rsidRDefault="006D59B2">
      <w:pPr>
        <w:rPr>
          <w:rFonts w:ascii="Arial" w:hAnsi="Arial" w:cs="Arial"/>
          <w:sz w:val="18"/>
        </w:rPr>
      </w:pPr>
    </w:p>
    <w:p w14:paraId="2C786003" w14:textId="77777777" w:rsidR="0045398B" w:rsidRDefault="0045398B">
      <w:pPr>
        <w:rPr>
          <w:rFonts w:ascii="Arial" w:hAnsi="Arial" w:cs="Arial"/>
          <w:sz w:val="18"/>
        </w:rPr>
      </w:pPr>
    </w:p>
    <w:p w14:paraId="21082C1B" w14:textId="77777777" w:rsidR="0045398B" w:rsidRDefault="0045398B">
      <w:pPr>
        <w:rPr>
          <w:rFonts w:ascii="Arial" w:hAnsi="Arial" w:cs="Arial"/>
          <w:sz w:val="18"/>
        </w:rPr>
      </w:pPr>
    </w:p>
    <w:p w14:paraId="4C469FED" w14:textId="77777777" w:rsidR="00583C89" w:rsidRDefault="00583C89">
      <w:pPr>
        <w:rPr>
          <w:rFonts w:ascii="Arial" w:hAnsi="Arial" w:cs="Arial"/>
          <w:sz w:val="18"/>
        </w:rPr>
      </w:pPr>
    </w:p>
    <w:p w14:paraId="4C721CE4" w14:textId="77777777" w:rsidR="00583C89" w:rsidRDefault="00583C89">
      <w:pPr>
        <w:rPr>
          <w:rFonts w:ascii="Arial" w:hAnsi="Arial" w:cs="Arial"/>
          <w:sz w:val="18"/>
        </w:rPr>
      </w:pPr>
    </w:p>
    <w:p w14:paraId="50CB2FD8" w14:textId="301AC3A6" w:rsidR="00583C89" w:rsidRDefault="00583C89">
      <w:pPr>
        <w:rPr>
          <w:rFonts w:ascii="Arial" w:hAnsi="Arial" w:cs="Arial"/>
          <w:sz w:val="18"/>
        </w:rPr>
      </w:pPr>
    </w:p>
    <w:p w14:paraId="1DF74338" w14:textId="77777777" w:rsidR="00583C89" w:rsidRDefault="00583C89">
      <w:pPr>
        <w:rPr>
          <w:rFonts w:ascii="Arial" w:hAnsi="Arial" w:cs="Arial"/>
          <w:sz w:val="18"/>
        </w:rPr>
      </w:pPr>
      <w:bookmarkStart w:id="2" w:name="_GoBack"/>
      <w:bookmarkEnd w:id="2"/>
    </w:p>
    <w:p w14:paraId="655DA9BD" w14:textId="77777777" w:rsidR="00F07FE3" w:rsidRDefault="00F07FE3"/>
    <w:tbl>
      <w:tblPr>
        <w:tblStyle w:val="Tablaconcuadrcula"/>
        <w:tblW w:w="8639" w:type="dxa"/>
        <w:tblLook w:val="04A0" w:firstRow="1" w:lastRow="0" w:firstColumn="1" w:lastColumn="0" w:noHBand="0" w:noVBand="1"/>
      </w:tblPr>
      <w:tblGrid>
        <w:gridCol w:w="1077"/>
        <w:gridCol w:w="1357"/>
        <w:gridCol w:w="1336"/>
        <w:gridCol w:w="2419"/>
        <w:gridCol w:w="2450"/>
      </w:tblGrid>
      <w:tr w:rsidR="006D59B2" w:rsidRPr="00B7051F" w14:paraId="2B265069" w14:textId="77777777" w:rsidTr="00094882">
        <w:trPr>
          <w:trHeight w:val="567"/>
        </w:trPr>
        <w:tc>
          <w:tcPr>
            <w:tcW w:w="8639" w:type="dxa"/>
            <w:gridSpan w:val="5"/>
          </w:tcPr>
          <w:p w14:paraId="2C43E1B6" w14:textId="77777777" w:rsidR="006D59B2" w:rsidRPr="00B7051F" w:rsidRDefault="006D59B2" w:rsidP="00094882">
            <w:pPr>
              <w:spacing w:line="276" w:lineRule="auto"/>
              <w:jc w:val="center"/>
              <w:rPr>
                <w:rFonts w:ascii="Arial" w:hAnsi="Arial"/>
                <w:b/>
                <w:snapToGrid w:val="0"/>
                <w:sz w:val="18"/>
                <w:szCs w:val="18"/>
              </w:rPr>
            </w:pPr>
            <w:r w:rsidRPr="00B7051F">
              <w:rPr>
                <w:rFonts w:ascii="Arial" w:hAnsi="Arial"/>
                <w:b/>
                <w:snapToGrid w:val="0"/>
                <w:sz w:val="18"/>
                <w:szCs w:val="18"/>
              </w:rPr>
              <w:lastRenderedPageBreak/>
              <w:t>FICHA TÉCNICA DE INDICADOR DE GESTIÓN</w:t>
            </w:r>
          </w:p>
          <w:p w14:paraId="4336DF6E" w14:textId="77777777" w:rsidR="006D59B2" w:rsidRPr="00B7051F" w:rsidRDefault="006D59B2" w:rsidP="00094882">
            <w:pPr>
              <w:spacing w:line="276" w:lineRule="auto"/>
              <w:jc w:val="center"/>
              <w:rPr>
                <w:rFonts w:ascii="Arial" w:hAnsi="Arial"/>
                <w:b/>
                <w:snapToGrid w:val="0"/>
                <w:sz w:val="18"/>
                <w:szCs w:val="18"/>
              </w:rPr>
            </w:pPr>
            <w:r w:rsidRPr="00B7051F">
              <w:rPr>
                <w:rFonts w:ascii="Arial" w:hAnsi="Arial"/>
                <w:b/>
                <w:snapToGrid w:val="0"/>
                <w:sz w:val="18"/>
                <w:szCs w:val="18"/>
              </w:rPr>
              <w:t>MINISTERIO DE VIVIENDA, CONSTRUCCIÓN Y SANEAMIENTO</w:t>
            </w:r>
          </w:p>
        </w:tc>
      </w:tr>
      <w:tr w:rsidR="006D59B2" w:rsidRPr="00B7051F" w14:paraId="09A44B15" w14:textId="77777777" w:rsidTr="00094882">
        <w:trPr>
          <w:trHeight w:val="229"/>
        </w:trPr>
        <w:tc>
          <w:tcPr>
            <w:tcW w:w="8639" w:type="dxa"/>
            <w:gridSpan w:val="5"/>
          </w:tcPr>
          <w:p w14:paraId="77E790A0" w14:textId="77777777" w:rsidR="006D59B2" w:rsidRPr="00B7051F" w:rsidRDefault="006D59B2" w:rsidP="00094882">
            <w:pPr>
              <w:jc w:val="center"/>
              <w:rPr>
                <w:rFonts w:ascii="Arial" w:hAnsi="Arial" w:cs="Arial"/>
                <w:b/>
                <w:bCs/>
                <w:sz w:val="18"/>
                <w:szCs w:val="18"/>
              </w:rPr>
            </w:pPr>
            <w:r w:rsidRPr="00B7051F">
              <w:rPr>
                <w:rFonts w:ascii="Arial" w:hAnsi="Arial" w:cs="Arial"/>
                <w:b/>
                <w:bCs/>
                <w:sz w:val="18"/>
                <w:szCs w:val="18"/>
              </w:rPr>
              <w:t>Nombre del Indicador</w:t>
            </w:r>
          </w:p>
        </w:tc>
      </w:tr>
      <w:tr w:rsidR="006D59B2" w:rsidRPr="00B7051F" w14:paraId="1A21EF9B" w14:textId="77777777" w:rsidTr="00094882">
        <w:trPr>
          <w:trHeight w:val="558"/>
        </w:trPr>
        <w:tc>
          <w:tcPr>
            <w:tcW w:w="8639" w:type="dxa"/>
            <w:gridSpan w:val="5"/>
            <w:vAlign w:val="center"/>
          </w:tcPr>
          <w:p w14:paraId="7EE108F7" w14:textId="59EB4817" w:rsidR="006D59B2" w:rsidRPr="00B7051F" w:rsidRDefault="006D59B2" w:rsidP="00270478">
            <w:pPr>
              <w:ind w:left="720"/>
              <w:jc w:val="center"/>
              <w:rPr>
                <w:rFonts w:ascii="Arial" w:hAnsi="Arial" w:cs="Arial"/>
                <w:sz w:val="18"/>
                <w:szCs w:val="18"/>
              </w:rPr>
            </w:pPr>
            <w:r w:rsidRPr="00B7051F">
              <w:rPr>
                <w:rFonts w:ascii="Arial" w:hAnsi="Arial" w:cs="Arial"/>
                <w:sz w:val="18"/>
                <w:szCs w:val="18"/>
              </w:rPr>
              <w:t xml:space="preserve">Contribución de </w:t>
            </w:r>
            <w:proofErr w:type="gramStart"/>
            <w:r w:rsidRPr="00B7051F">
              <w:rPr>
                <w:rFonts w:ascii="Arial" w:hAnsi="Arial" w:cs="Arial"/>
                <w:sz w:val="18"/>
                <w:szCs w:val="18"/>
              </w:rPr>
              <w:t>las intervención</w:t>
            </w:r>
            <w:proofErr w:type="gramEnd"/>
            <w:r w:rsidRPr="00B7051F">
              <w:rPr>
                <w:rFonts w:ascii="Arial" w:hAnsi="Arial" w:cs="Arial"/>
                <w:sz w:val="18"/>
                <w:szCs w:val="18"/>
              </w:rPr>
              <w:t xml:space="preserve"> del MVCS en la reducción de</w:t>
            </w:r>
            <w:r w:rsidR="00270478" w:rsidRPr="00B7051F">
              <w:rPr>
                <w:rFonts w:ascii="Arial" w:hAnsi="Arial" w:cs="Arial"/>
                <w:sz w:val="18"/>
                <w:szCs w:val="18"/>
              </w:rPr>
              <w:t xml:space="preserve"> brecha de acceso a saneamiento</w:t>
            </w:r>
          </w:p>
        </w:tc>
      </w:tr>
      <w:tr w:rsidR="006D59B2" w:rsidRPr="00B7051F" w14:paraId="5EF90A27" w14:textId="77777777" w:rsidTr="00094882">
        <w:trPr>
          <w:trHeight w:val="258"/>
        </w:trPr>
        <w:tc>
          <w:tcPr>
            <w:tcW w:w="1077" w:type="dxa"/>
            <w:vAlign w:val="center"/>
          </w:tcPr>
          <w:p w14:paraId="22F1DB29" w14:textId="77777777" w:rsidR="006D59B2" w:rsidRPr="00B7051F" w:rsidRDefault="006D59B2" w:rsidP="00094882">
            <w:pPr>
              <w:jc w:val="center"/>
              <w:rPr>
                <w:rFonts w:ascii="Arial" w:hAnsi="Arial" w:cs="Arial"/>
                <w:sz w:val="18"/>
                <w:szCs w:val="18"/>
              </w:rPr>
            </w:pPr>
            <w:r w:rsidRPr="00B7051F">
              <w:rPr>
                <w:rFonts w:ascii="Arial" w:hAnsi="Arial" w:cs="Arial"/>
                <w:b/>
                <w:bCs/>
                <w:sz w:val="18"/>
                <w:szCs w:val="18"/>
              </w:rPr>
              <w:t>Unidad de Medida</w:t>
            </w:r>
          </w:p>
        </w:tc>
        <w:tc>
          <w:tcPr>
            <w:tcW w:w="1056" w:type="dxa"/>
            <w:vAlign w:val="center"/>
          </w:tcPr>
          <w:p w14:paraId="3371832B" w14:textId="77777777" w:rsidR="006D59B2" w:rsidRPr="00B7051F" w:rsidRDefault="006D59B2" w:rsidP="00094882">
            <w:pPr>
              <w:jc w:val="center"/>
              <w:rPr>
                <w:rFonts w:ascii="Arial" w:hAnsi="Arial" w:cs="Arial"/>
                <w:b/>
                <w:sz w:val="18"/>
                <w:szCs w:val="18"/>
              </w:rPr>
            </w:pPr>
            <w:r w:rsidRPr="00B7051F">
              <w:rPr>
                <w:rFonts w:ascii="Arial" w:hAnsi="Arial" w:cs="Arial"/>
                <w:b/>
                <w:sz w:val="18"/>
                <w:szCs w:val="18"/>
              </w:rPr>
              <w:t>Ámbito</w:t>
            </w:r>
          </w:p>
        </w:tc>
        <w:tc>
          <w:tcPr>
            <w:tcW w:w="1357" w:type="dxa"/>
            <w:vAlign w:val="center"/>
          </w:tcPr>
          <w:p w14:paraId="24C1E935" w14:textId="77777777" w:rsidR="006D59B2" w:rsidRPr="00B7051F" w:rsidRDefault="006D59B2" w:rsidP="00094882">
            <w:pPr>
              <w:jc w:val="center"/>
              <w:rPr>
                <w:rFonts w:ascii="Arial" w:hAnsi="Arial" w:cs="Arial"/>
                <w:sz w:val="18"/>
                <w:szCs w:val="18"/>
              </w:rPr>
            </w:pPr>
            <w:r w:rsidRPr="00B7051F">
              <w:rPr>
                <w:rFonts w:ascii="Arial" w:hAnsi="Arial" w:cs="Arial"/>
                <w:b/>
                <w:sz w:val="18"/>
                <w:szCs w:val="18"/>
              </w:rPr>
              <w:t>Frecuencia</w:t>
            </w:r>
          </w:p>
        </w:tc>
        <w:tc>
          <w:tcPr>
            <w:tcW w:w="2557" w:type="dxa"/>
            <w:vAlign w:val="center"/>
          </w:tcPr>
          <w:p w14:paraId="3E1C4EE6" w14:textId="77777777" w:rsidR="006D59B2" w:rsidRPr="00B7051F" w:rsidRDefault="006D59B2" w:rsidP="00094882">
            <w:pPr>
              <w:jc w:val="center"/>
              <w:rPr>
                <w:rFonts w:ascii="Arial" w:hAnsi="Arial" w:cs="Arial"/>
                <w:sz w:val="18"/>
                <w:szCs w:val="18"/>
              </w:rPr>
            </w:pPr>
            <w:r w:rsidRPr="00B7051F">
              <w:rPr>
                <w:rFonts w:ascii="Arial" w:hAnsi="Arial" w:cs="Arial"/>
                <w:b/>
                <w:sz w:val="18"/>
                <w:szCs w:val="18"/>
              </w:rPr>
              <w:t>Responsable de la información</w:t>
            </w:r>
          </w:p>
        </w:tc>
        <w:tc>
          <w:tcPr>
            <w:tcW w:w="2592" w:type="dxa"/>
            <w:vAlign w:val="center"/>
          </w:tcPr>
          <w:p w14:paraId="5F0BB3AE" w14:textId="77777777" w:rsidR="006D59B2" w:rsidRPr="00B7051F" w:rsidRDefault="006D59B2" w:rsidP="00094882">
            <w:pPr>
              <w:jc w:val="center"/>
              <w:rPr>
                <w:rFonts w:ascii="Arial" w:hAnsi="Arial" w:cs="Arial"/>
                <w:b/>
                <w:sz w:val="18"/>
                <w:szCs w:val="18"/>
              </w:rPr>
            </w:pPr>
            <w:r w:rsidRPr="00B7051F">
              <w:rPr>
                <w:rFonts w:ascii="Arial" w:hAnsi="Arial" w:cs="Arial"/>
                <w:b/>
                <w:sz w:val="18"/>
                <w:szCs w:val="18"/>
              </w:rPr>
              <w:t>Responsable del cálculo</w:t>
            </w:r>
          </w:p>
        </w:tc>
      </w:tr>
      <w:tr w:rsidR="006D59B2" w:rsidRPr="00B7051F" w14:paraId="3417DB15" w14:textId="77777777" w:rsidTr="00094882">
        <w:trPr>
          <w:trHeight w:val="430"/>
        </w:trPr>
        <w:tc>
          <w:tcPr>
            <w:tcW w:w="1077" w:type="dxa"/>
            <w:vAlign w:val="center"/>
          </w:tcPr>
          <w:p w14:paraId="1307623F" w14:textId="77777777" w:rsidR="006D59B2" w:rsidRPr="00B7051F" w:rsidRDefault="006D59B2" w:rsidP="00094882">
            <w:pPr>
              <w:jc w:val="center"/>
              <w:rPr>
                <w:rFonts w:ascii="Arial" w:hAnsi="Arial" w:cs="Arial"/>
                <w:sz w:val="18"/>
                <w:szCs w:val="18"/>
              </w:rPr>
            </w:pPr>
            <w:r w:rsidRPr="00B7051F">
              <w:rPr>
                <w:rFonts w:ascii="Arial" w:hAnsi="Arial" w:cs="Arial"/>
                <w:sz w:val="18"/>
                <w:szCs w:val="18"/>
              </w:rPr>
              <w:t xml:space="preserve">Porcentaje </w:t>
            </w:r>
          </w:p>
        </w:tc>
        <w:tc>
          <w:tcPr>
            <w:tcW w:w="1056" w:type="dxa"/>
            <w:vAlign w:val="center"/>
          </w:tcPr>
          <w:p w14:paraId="1D50C9D4" w14:textId="77777777" w:rsidR="006D59B2" w:rsidRPr="00B7051F" w:rsidRDefault="006D59B2" w:rsidP="00094882">
            <w:pPr>
              <w:pStyle w:val="Sinespaciado"/>
              <w:jc w:val="center"/>
              <w:rPr>
                <w:sz w:val="18"/>
                <w:szCs w:val="18"/>
              </w:rPr>
            </w:pPr>
            <w:r w:rsidRPr="00B7051F">
              <w:rPr>
                <w:rFonts w:ascii="Arial" w:hAnsi="Arial" w:cs="Arial"/>
                <w:sz w:val="18"/>
                <w:szCs w:val="18"/>
              </w:rPr>
              <w:t>Departamento</w:t>
            </w:r>
          </w:p>
        </w:tc>
        <w:tc>
          <w:tcPr>
            <w:tcW w:w="1357" w:type="dxa"/>
            <w:vAlign w:val="center"/>
          </w:tcPr>
          <w:p w14:paraId="3F5B93AC" w14:textId="77777777" w:rsidR="006D59B2" w:rsidRPr="00B7051F" w:rsidRDefault="006D59B2" w:rsidP="00094882">
            <w:pPr>
              <w:jc w:val="center"/>
              <w:rPr>
                <w:rFonts w:ascii="Arial" w:hAnsi="Arial" w:cs="Arial"/>
                <w:sz w:val="18"/>
                <w:szCs w:val="18"/>
              </w:rPr>
            </w:pPr>
            <w:r w:rsidRPr="00B7051F">
              <w:rPr>
                <w:rFonts w:ascii="Arial" w:hAnsi="Arial" w:cs="Arial"/>
                <w:sz w:val="18"/>
                <w:szCs w:val="18"/>
              </w:rPr>
              <w:t>Trimestral</w:t>
            </w:r>
          </w:p>
        </w:tc>
        <w:tc>
          <w:tcPr>
            <w:tcW w:w="2557" w:type="dxa"/>
            <w:vAlign w:val="center"/>
          </w:tcPr>
          <w:p w14:paraId="373CF62A" w14:textId="77777777" w:rsidR="006D59B2" w:rsidRPr="00B7051F" w:rsidRDefault="006D59B2" w:rsidP="00094882">
            <w:pPr>
              <w:jc w:val="center"/>
              <w:rPr>
                <w:rFonts w:ascii="Arial" w:hAnsi="Arial" w:cs="Arial"/>
                <w:sz w:val="18"/>
                <w:szCs w:val="18"/>
              </w:rPr>
            </w:pPr>
            <w:r w:rsidRPr="00B7051F">
              <w:rPr>
                <w:rFonts w:ascii="Arial" w:hAnsi="Arial" w:cs="Arial"/>
                <w:sz w:val="18"/>
                <w:szCs w:val="18"/>
              </w:rPr>
              <w:t>PNSU, PASLC y PNSR</w:t>
            </w:r>
          </w:p>
        </w:tc>
        <w:tc>
          <w:tcPr>
            <w:tcW w:w="2592" w:type="dxa"/>
            <w:vAlign w:val="center"/>
          </w:tcPr>
          <w:p w14:paraId="38BC8A71" w14:textId="77777777" w:rsidR="006D59B2" w:rsidRPr="00B7051F" w:rsidRDefault="006D59B2" w:rsidP="00094882">
            <w:pPr>
              <w:jc w:val="center"/>
              <w:rPr>
                <w:rFonts w:ascii="Arial" w:hAnsi="Arial" w:cs="Arial"/>
                <w:sz w:val="18"/>
                <w:szCs w:val="18"/>
              </w:rPr>
            </w:pPr>
            <w:r w:rsidRPr="00B7051F">
              <w:rPr>
                <w:rFonts w:ascii="Arial" w:hAnsi="Arial" w:cs="Arial"/>
                <w:sz w:val="18"/>
                <w:szCs w:val="18"/>
              </w:rPr>
              <w:t>OGMEI</w:t>
            </w:r>
          </w:p>
        </w:tc>
      </w:tr>
    </w:tbl>
    <w:p w14:paraId="123C79CA" w14:textId="77777777" w:rsidR="006D59B2" w:rsidRPr="00F244A5" w:rsidRDefault="006D59B2" w:rsidP="006D59B2">
      <w:pPr>
        <w:spacing w:after="0"/>
        <w:rPr>
          <w:rFonts w:ascii="Arial" w:hAnsi="Arial" w:cs="Arial"/>
          <w:sz w:val="18"/>
          <w:szCs w:val="20"/>
        </w:rPr>
      </w:pPr>
    </w:p>
    <w:tbl>
      <w:tblPr>
        <w:tblStyle w:val="Tablaconcuadrcula"/>
        <w:tblW w:w="8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39"/>
      </w:tblGrid>
      <w:tr w:rsidR="006D59B2" w:rsidRPr="00B7051F" w14:paraId="1C2CD746" w14:textId="77777777" w:rsidTr="00094882">
        <w:trPr>
          <w:trHeight w:val="241"/>
        </w:trPr>
        <w:tc>
          <w:tcPr>
            <w:tcW w:w="8639" w:type="dxa"/>
            <w:tcBorders>
              <w:top w:val="single" w:sz="4" w:space="0" w:color="auto"/>
              <w:left w:val="single" w:sz="4" w:space="0" w:color="auto"/>
              <w:bottom w:val="single" w:sz="4" w:space="0" w:color="auto"/>
              <w:right w:val="single" w:sz="4" w:space="0" w:color="auto"/>
            </w:tcBorders>
            <w:shd w:val="clear" w:color="auto" w:fill="auto"/>
            <w:vAlign w:val="center"/>
          </w:tcPr>
          <w:p w14:paraId="351906F6" w14:textId="77777777" w:rsidR="006D59B2" w:rsidRPr="00B7051F" w:rsidRDefault="006D59B2" w:rsidP="00094882">
            <w:pPr>
              <w:rPr>
                <w:rFonts w:ascii="Arial" w:hAnsi="Arial" w:cs="Arial"/>
                <w:b/>
                <w:sz w:val="18"/>
                <w:szCs w:val="18"/>
              </w:rPr>
            </w:pPr>
            <w:r w:rsidRPr="00B7051F">
              <w:rPr>
                <w:rFonts w:ascii="Arial" w:hAnsi="Arial" w:cs="Arial"/>
                <w:b/>
                <w:bCs/>
                <w:sz w:val="18"/>
                <w:szCs w:val="18"/>
              </w:rPr>
              <w:t>Definición</w:t>
            </w:r>
          </w:p>
        </w:tc>
      </w:tr>
      <w:tr w:rsidR="006D59B2" w:rsidRPr="00B7051F" w14:paraId="06AEB4D4" w14:textId="77777777" w:rsidTr="00094882">
        <w:trPr>
          <w:trHeight w:val="534"/>
        </w:trPr>
        <w:tc>
          <w:tcPr>
            <w:tcW w:w="8639" w:type="dxa"/>
            <w:tcBorders>
              <w:top w:val="single" w:sz="4" w:space="0" w:color="auto"/>
              <w:left w:val="single" w:sz="4" w:space="0" w:color="auto"/>
              <w:bottom w:val="single" w:sz="4" w:space="0" w:color="auto"/>
              <w:right w:val="single" w:sz="4" w:space="0" w:color="auto"/>
            </w:tcBorders>
            <w:shd w:val="clear" w:color="auto" w:fill="auto"/>
            <w:vAlign w:val="center"/>
          </w:tcPr>
          <w:p w14:paraId="7F4B4BFA" w14:textId="1934561A" w:rsidR="006D59B2" w:rsidRPr="00B7051F" w:rsidRDefault="006D59B2" w:rsidP="00B7051F">
            <w:pPr>
              <w:jc w:val="both"/>
              <w:rPr>
                <w:rFonts w:ascii="Arial" w:hAnsi="Arial" w:cs="Arial"/>
                <w:sz w:val="18"/>
                <w:szCs w:val="18"/>
              </w:rPr>
            </w:pPr>
            <w:r w:rsidRPr="00B7051F">
              <w:rPr>
                <w:rFonts w:ascii="Arial" w:hAnsi="Arial" w:cs="Arial"/>
                <w:sz w:val="18"/>
                <w:szCs w:val="18"/>
              </w:rPr>
              <w:t xml:space="preserve">El indicador mide la contribución de las intervenciones de ejecución </w:t>
            </w:r>
            <w:r w:rsidR="00B7051F" w:rsidRPr="00B7051F">
              <w:rPr>
                <w:rFonts w:ascii="Arial" w:hAnsi="Arial" w:cs="Arial"/>
                <w:sz w:val="18"/>
                <w:szCs w:val="18"/>
              </w:rPr>
              <w:t xml:space="preserve">y culminación </w:t>
            </w:r>
            <w:r w:rsidRPr="00B7051F">
              <w:rPr>
                <w:rFonts w:ascii="Arial" w:hAnsi="Arial" w:cs="Arial"/>
                <w:sz w:val="18"/>
                <w:szCs w:val="18"/>
              </w:rPr>
              <w:t xml:space="preserve">de </w:t>
            </w:r>
            <w:r w:rsidR="00B7051F" w:rsidRPr="00B7051F">
              <w:rPr>
                <w:rFonts w:ascii="Arial" w:hAnsi="Arial" w:cs="Arial"/>
                <w:sz w:val="18"/>
                <w:szCs w:val="18"/>
              </w:rPr>
              <w:t xml:space="preserve">proyectos </w:t>
            </w:r>
            <w:r w:rsidRPr="00B7051F">
              <w:rPr>
                <w:rFonts w:ascii="Arial" w:hAnsi="Arial" w:cs="Arial"/>
                <w:sz w:val="18"/>
                <w:szCs w:val="18"/>
              </w:rPr>
              <w:t xml:space="preserve">de saneamiento del MVCS, en la reducción de brecha del acceso a </w:t>
            </w:r>
            <w:r w:rsidR="00B7051F" w:rsidRPr="00B7051F">
              <w:rPr>
                <w:rFonts w:ascii="Arial" w:hAnsi="Arial" w:cs="Arial"/>
                <w:sz w:val="18"/>
                <w:szCs w:val="18"/>
              </w:rPr>
              <w:t xml:space="preserve">servicios de </w:t>
            </w:r>
            <w:r w:rsidRPr="00B7051F">
              <w:rPr>
                <w:rFonts w:ascii="Arial" w:hAnsi="Arial" w:cs="Arial"/>
                <w:sz w:val="18"/>
                <w:szCs w:val="18"/>
              </w:rPr>
              <w:t xml:space="preserve">saneamiento. El resultado mide la participación porcentual de la población beneficiada con el acceso a </w:t>
            </w:r>
            <w:r w:rsidR="00B7051F" w:rsidRPr="00B7051F">
              <w:rPr>
                <w:rFonts w:ascii="Arial" w:hAnsi="Arial" w:cs="Arial"/>
                <w:sz w:val="18"/>
                <w:szCs w:val="18"/>
              </w:rPr>
              <w:t xml:space="preserve">servicios de </w:t>
            </w:r>
            <w:r w:rsidRPr="00B7051F">
              <w:rPr>
                <w:rFonts w:ascii="Arial" w:hAnsi="Arial" w:cs="Arial"/>
                <w:sz w:val="18"/>
                <w:szCs w:val="18"/>
              </w:rPr>
              <w:t xml:space="preserve">saneamiento producto de la entrega de obras implementadas por el MVCS, </w:t>
            </w:r>
            <w:r w:rsidR="00583C89" w:rsidRPr="00B7051F">
              <w:rPr>
                <w:rFonts w:ascii="Arial" w:hAnsi="Arial" w:cs="Arial"/>
                <w:sz w:val="18"/>
                <w:szCs w:val="18"/>
              </w:rPr>
              <w:t>respecto a la población total sin acceso a saneamiento</w:t>
            </w:r>
            <w:r w:rsidR="00270478" w:rsidRPr="00B7051F">
              <w:rPr>
                <w:rFonts w:ascii="Arial" w:hAnsi="Arial" w:cs="Arial"/>
                <w:sz w:val="18"/>
                <w:szCs w:val="18"/>
              </w:rPr>
              <w:t>.</w:t>
            </w:r>
          </w:p>
        </w:tc>
      </w:tr>
      <w:tr w:rsidR="006D59B2" w:rsidRPr="00B7051F" w14:paraId="197A2735" w14:textId="77777777" w:rsidTr="00094882">
        <w:trPr>
          <w:trHeight w:val="241"/>
        </w:trPr>
        <w:tc>
          <w:tcPr>
            <w:tcW w:w="8639" w:type="dxa"/>
            <w:tcBorders>
              <w:top w:val="single" w:sz="4" w:space="0" w:color="auto"/>
              <w:left w:val="single" w:sz="4" w:space="0" w:color="auto"/>
              <w:bottom w:val="single" w:sz="4" w:space="0" w:color="auto"/>
              <w:right w:val="single" w:sz="4" w:space="0" w:color="auto"/>
            </w:tcBorders>
            <w:shd w:val="clear" w:color="auto" w:fill="auto"/>
            <w:vAlign w:val="center"/>
          </w:tcPr>
          <w:p w14:paraId="775BD7FE" w14:textId="77777777" w:rsidR="006D59B2" w:rsidRPr="00B7051F" w:rsidRDefault="006D59B2" w:rsidP="00094882">
            <w:pPr>
              <w:rPr>
                <w:rFonts w:ascii="Arial" w:hAnsi="Arial" w:cs="Arial"/>
                <w:b/>
                <w:sz w:val="18"/>
                <w:szCs w:val="18"/>
              </w:rPr>
            </w:pPr>
            <w:r w:rsidRPr="00B7051F">
              <w:rPr>
                <w:rFonts w:ascii="Arial" w:hAnsi="Arial" w:cs="Arial"/>
                <w:b/>
                <w:bCs/>
                <w:sz w:val="18"/>
                <w:szCs w:val="18"/>
              </w:rPr>
              <w:t>Justificación</w:t>
            </w:r>
          </w:p>
        </w:tc>
      </w:tr>
      <w:tr w:rsidR="006D59B2" w:rsidRPr="00B7051F" w14:paraId="4D37EDA3" w14:textId="77777777" w:rsidTr="00094882">
        <w:trPr>
          <w:trHeight w:val="241"/>
        </w:trPr>
        <w:tc>
          <w:tcPr>
            <w:tcW w:w="8639" w:type="dxa"/>
            <w:tcBorders>
              <w:top w:val="single" w:sz="4" w:space="0" w:color="auto"/>
              <w:left w:val="single" w:sz="4" w:space="0" w:color="auto"/>
              <w:bottom w:val="single" w:sz="4" w:space="0" w:color="auto"/>
              <w:right w:val="single" w:sz="4" w:space="0" w:color="auto"/>
            </w:tcBorders>
            <w:shd w:val="clear" w:color="auto" w:fill="auto"/>
            <w:vAlign w:val="center"/>
          </w:tcPr>
          <w:p w14:paraId="7E3EE083" w14:textId="02A9F2E2" w:rsidR="006D59B2" w:rsidRPr="00B7051F" w:rsidRDefault="006D59B2" w:rsidP="00B7051F">
            <w:pPr>
              <w:jc w:val="both"/>
              <w:rPr>
                <w:rFonts w:ascii="Arial" w:hAnsi="Arial" w:cs="Arial"/>
                <w:sz w:val="18"/>
                <w:szCs w:val="18"/>
              </w:rPr>
            </w:pPr>
            <w:r w:rsidRPr="00B7051F">
              <w:rPr>
                <w:rFonts w:ascii="Arial" w:hAnsi="Arial" w:cs="Arial"/>
                <w:sz w:val="18"/>
                <w:szCs w:val="18"/>
              </w:rPr>
              <w:t xml:space="preserve">Las inversiones ejecutadas por el sector tienen como objetivo contribuir a reducir las brechas de cobertura en </w:t>
            </w:r>
            <w:r w:rsidR="00583C89" w:rsidRPr="00B7051F">
              <w:rPr>
                <w:rFonts w:ascii="Arial" w:hAnsi="Arial" w:cs="Arial"/>
                <w:sz w:val="18"/>
                <w:szCs w:val="18"/>
              </w:rPr>
              <w:t>el servicio de saneamiento</w:t>
            </w:r>
            <w:r w:rsidRPr="00B7051F">
              <w:rPr>
                <w:rFonts w:ascii="Arial" w:hAnsi="Arial" w:cs="Arial"/>
                <w:sz w:val="18"/>
                <w:szCs w:val="18"/>
              </w:rPr>
              <w:t xml:space="preserve">. En ese sentido, el indicador busca medir el aporte del sector en la disminución de la brecha de población sin acceso a servicios de </w:t>
            </w:r>
            <w:r w:rsidR="00B7051F" w:rsidRPr="00B7051F">
              <w:rPr>
                <w:rFonts w:ascii="Arial" w:hAnsi="Arial" w:cs="Arial"/>
                <w:sz w:val="18"/>
                <w:szCs w:val="18"/>
              </w:rPr>
              <w:t xml:space="preserve">saneamiento </w:t>
            </w:r>
            <w:r w:rsidRPr="00B7051F">
              <w:rPr>
                <w:rFonts w:ascii="Arial" w:hAnsi="Arial" w:cs="Arial"/>
                <w:sz w:val="18"/>
                <w:szCs w:val="18"/>
              </w:rPr>
              <w:t>a nivel departamental.</w:t>
            </w:r>
          </w:p>
        </w:tc>
      </w:tr>
      <w:tr w:rsidR="006D59B2" w:rsidRPr="00B7051F" w14:paraId="6A428450" w14:textId="77777777" w:rsidTr="00094882">
        <w:trPr>
          <w:trHeight w:val="241"/>
        </w:trPr>
        <w:tc>
          <w:tcPr>
            <w:tcW w:w="8639" w:type="dxa"/>
            <w:tcBorders>
              <w:top w:val="single" w:sz="4" w:space="0" w:color="auto"/>
              <w:left w:val="single" w:sz="4" w:space="0" w:color="auto"/>
              <w:bottom w:val="single" w:sz="4" w:space="0" w:color="auto"/>
              <w:right w:val="single" w:sz="4" w:space="0" w:color="auto"/>
            </w:tcBorders>
            <w:shd w:val="clear" w:color="auto" w:fill="auto"/>
            <w:vAlign w:val="center"/>
          </w:tcPr>
          <w:p w14:paraId="7D5969F3" w14:textId="77777777" w:rsidR="006D59B2" w:rsidRPr="00B7051F" w:rsidRDefault="006D59B2" w:rsidP="00094882">
            <w:pPr>
              <w:rPr>
                <w:rFonts w:ascii="Arial" w:hAnsi="Arial" w:cs="Arial"/>
                <w:b/>
                <w:sz w:val="18"/>
                <w:szCs w:val="18"/>
              </w:rPr>
            </w:pPr>
            <w:r w:rsidRPr="00B7051F">
              <w:rPr>
                <w:rFonts w:ascii="Arial" w:hAnsi="Arial" w:cs="Arial"/>
                <w:b/>
                <w:sz w:val="18"/>
                <w:szCs w:val="18"/>
              </w:rPr>
              <w:t>Método de Cálculo</w:t>
            </w:r>
          </w:p>
        </w:tc>
      </w:tr>
      <w:tr w:rsidR="006D59B2" w:rsidRPr="00B7051F" w14:paraId="29BF1EDE" w14:textId="77777777" w:rsidTr="00094882">
        <w:trPr>
          <w:trHeight w:val="165"/>
        </w:trPr>
        <w:tc>
          <w:tcPr>
            <w:tcW w:w="8639" w:type="dxa"/>
            <w:tcBorders>
              <w:top w:val="single" w:sz="4" w:space="0" w:color="auto"/>
              <w:left w:val="single" w:sz="4" w:space="0" w:color="auto"/>
              <w:bottom w:val="single" w:sz="4" w:space="0" w:color="auto"/>
              <w:right w:val="single" w:sz="4" w:space="0" w:color="auto"/>
            </w:tcBorders>
            <w:vAlign w:val="center"/>
          </w:tcPr>
          <w:p w14:paraId="14DAE6C7" w14:textId="77777777" w:rsidR="006D59B2" w:rsidRPr="00B7051F" w:rsidRDefault="006D59B2" w:rsidP="00094882">
            <w:pPr>
              <w:rPr>
                <w:rFonts w:ascii="Arial" w:eastAsiaTheme="minorEastAsia" w:hAnsi="Arial" w:cs="Arial"/>
                <w:sz w:val="18"/>
                <w:szCs w:val="18"/>
              </w:rPr>
            </w:pPr>
          </w:p>
          <w:p w14:paraId="2CD4217B" w14:textId="6CC5F601" w:rsidR="006D59B2" w:rsidRPr="00B7051F" w:rsidRDefault="006D59B2" w:rsidP="00094882">
            <w:pPr>
              <w:rPr>
                <w:rFonts w:ascii="Arial" w:hAnsi="Arial" w:cs="Arial"/>
                <w:sz w:val="18"/>
                <w:szCs w:val="18"/>
              </w:rPr>
            </w:pPr>
            <m:oMathPara>
              <m:oMath>
                <m:r>
                  <w:rPr>
                    <w:rFonts w:ascii="Cambria Math" w:hAnsi="Cambria Math" w:cs="Arial"/>
                    <w:sz w:val="18"/>
                    <w:szCs w:val="18"/>
                  </w:rPr>
                  <m:t>Formula=</m:t>
                </m:r>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BNF</m:t>
                        </m:r>
                      </m:e>
                      <m:sub>
                        <m:r>
                          <w:rPr>
                            <w:rFonts w:ascii="Cambria Math" w:hAnsi="Cambria Math" w:cs="Arial"/>
                            <w:sz w:val="18"/>
                            <w:szCs w:val="18"/>
                          </w:rPr>
                          <m:t>t</m:t>
                        </m:r>
                      </m:sub>
                    </m:sSub>
                  </m:num>
                  <m:den>
                    <m:r>
                      <w:rPr>
                        <w:rFonts w:ascii="Cambria Math" w:hAnsi="Cambria Math" w:cs="Arial"/>
                        <w:sz w:val="18"/>
                        <w:szCs w:val="18"/>
                      </w:rPr>
                      <m:t>X</m:t>
                    </m:r>
                  </m:den>
                </m:f>
              </m:oMath>
            </m:oMathPara>
          </w:p>
          <w:p w14:paraId="61154692" w14:textId="77777777" w:rsidR="006D59B2" w:rsidRPr="00B7051F" w:rsidRDefault="006D59B2" w:rsidP="00094882">
            <w:pPr>
              <w:rPr>
                <w:rFonts w:ascii="Arial" w:hAnsi="Arial" w:cs="Arial"/>
                <w:sz w:val="18"/>
                <w:szCs w:val="18"/>
              </w:rPr>
            </w:pPr>
            <w:r w:rsidRPr="00B7051F">
              <w:rPr>
                <w:rFonts w:ascii="Arial" w:hAnsi="Arial" w:cs="Arial"/>
                <w:sz w:val="18"/>
                <w:szCs w:val="18"/>
              </w:rPr>
              <w:t>Donde:</w:t>
            </w:r>
          </w:p>
          <w:p w14:paraId="0841358B" w14:textId="23324C62" w:rsidR="006D59B2" w:rsidRPr="00B7051F" w:rsidRDefault="006D59B2" w:rsidP="00094882">
            <w:pPr>
              <w:ind w:left="313" w:hanging="291"/>
              <w:rPr>
                <w:rFonts w:ascii="Arial" w:hAnsi="Arial" w:cs="Arial"/>
                <w:sz w:val="18"/>
                <w:szCs w:val="18"/>
              </w:rPr>
            </w:pPr>
            <w:r w:rsidRPr="00B7051F">
              <w:rPr>
                <w:rFonts w:ascii="Arial" w:hAnsi="Arial" w:cs="Arial"/>
                <w:sz w:val="18"/>
                <w:szCs w:val="18"/>
              </w:rPr>
              <w:t>BNF= Beneficiarios de las obras ejecutadas y entregadas por el MVCS sobre el servicio de saneamiento</w:t>
            </w:r>
          </w:p>
          <w:p w14:paraId="48AFDB8E" w14:textId="4D8DAADB" w:rsidR="006D59B2" w:rsidRPr="00B7051F" w:rsidRDefault="006D59B2" w:rsidP="00094882">
            <w:pPr>
              <w:ind w:left="313" w:hanging="291"/>
              <w:rPr>
                <w:rFonts w:ascii="Arial" w:hAnsi="Arial" w:cs="Arial"/>
                <w:sz w:val="18"/>
                <w:szCs w:val="18"/>
              </w:rPr>
            </w:pPr>
            <w:r w:rsidRPr="00B7051F">
              <w:rPr>
                <w:rFonts w:ascii="Arial" w:hAnsi="Arial" w:cs="Arial"/>
                <w:sz w:val="18"/>
                <w:szCs w:val="18"/>
              </w:rPr>
              <w:t>X = Población sin acceso a saneamiento</w:t>
            </w:r>
            <w:r w:rsidR="00270478" w:rsidRPr="00B7051F">
              <w:rPr>
                <w:rFonts w:ascii="Arial" w:hAnsi="Arial" w:cs="Arial"/>
                <w:sz w:val="18"/>
                <w:szCs w:val="18"/>
              </w:rPr>
              <w:t xml:space="preserve"> (brecha de acceso a saneamiento, se considera el dato del año más reciente)</w:t>
            </w:r>
          </w:p>
          <w:p w14:paraId="1D86AA0F" w14:textId="13502E0A" w:rsidR="006D59B2" w:rsidRPr="00B7051F" w:rsidRDefault="006D59B2" w:rsidP="00094882">
            <w:pPr>
              <w:rPr>
                <w:rFonts w:ascii="Arial" w:hAnsi="Arial" w:cs="Arial"/>
                <w:sz w:val="18"/>
                <w:szCs w:val="18"/>
              </w:rPr>
            </w:pPr>
            <w:r w:rsidRPr="00B7051F">
              <w:rPr>
                <w:rFonts w:ascii="Arial" w:hAnsi="Arial" w:cs="Arial"/>
                <w:sz w:val="18"/>
                <w:szCs w:val="18"/>
              </w:rPr>
              <w:t xml:space="preserve">t= </w:t>
            </w:r>
            <w:r w:rsidR="00270478" w:rsidRPr="00B7051F">
              <w:rPr>
                <w:rFonts w:ascii="Arial" w:hAnsi="Arial" w:cs="Arial"/>
                <w:sz w:val="18"/>
                <w:szCs w:val="18"/>
              </w:rPr>
              <w:t>trimestre</w:t>
            </w:r>
          </w:p>
          <w:p w14:paraId="5236C243" w14:textId="77777777" w:rsidR="006D59B2" w:rsidRPr="00B7051F" w:rsidRDefault="006D59B2" w:rsidP="00094882">
            <w:pPr>
              <w:rPr>
                <w:rFonts w:ascii="Arial" w:hAnsi="Arial" w:cs="Arial"/>
                <w:sz w:val="18"/>
                <w:szCs w:val="18"/>
              </w:rPr>
            </w:pPr>
          </w:p>
          <w:p w14:paraId="19C762C1" w14:textId="77777777" w:rsidR="006D59B2" w:rsidRPr="00B7051F" w:rsidRDefault="006D59B2" w:rsidP="00094882">
            <w:pPr>
              <w:rPr>
                <w:rFonts w:ascii="Arial" w:hAnsi="Arial" w:cs="Arial"/>
                <w:b/>
                <w:sz w:val="18"/>
                <w:szCs w:val="18"/>
              </w:rPr>
            </w:pPr>
            <w:r w:rsidRPr="00B7051F">
              <w:rPr>
                <w:rFonts w:ascii="Arial" w:hAnsi="Arial" w:cs="Arial"/>
                <w:b/>
                <w:sz w:val="18"/>
                <w:szCs w:val="18"/>
              </w:rPr>
              <w:t>Precisiones:</w:t>
            </w:r>
          </w:p>
          <w:p w14:paraId="1124347F" w14:textId="77777777" w:rsidR="006D59B2" w:rsidRPr="00B7051F" w:rsidRDefault="006D59B2" w:rsidP="00094882">
            <w:pPr>
              <w:pStyle w:val="Prrafodelista"/>
              <w:numPr>
                <w:ilvl w:val="0"/>
                <w:numId w:val="1"/>
              </w:numPr>
              <w:ind w:left="313" w:hanging="219"/>
              <w:jc w:val="both"/>
              <w:rPr>
                <w:rFonts w:ascii="Arial" w:hAnsi="Arial" w:cs="Arial"/>
                <w:sz w:val="18"/>
                <w:szCs w:val="18"/>
              </w:rPr>
            </w:pPr>
            <w:r w:rsidRPr="00B7051F">
              <w:rPr>
                <w:rFonts w:ascii="Arial" w:hAnsi="Arial" w:cs="Arial"/>
                <w:sz w:val="18"/>
                <w:szCs w:val="18"/>
              </w:rPr>
              <w:t>La nueva población con acceso a servicios de agua corresponde a la población beneficiada por inversiones del sector (PNSR, PNSU y PASLC) a nivel departamental en la modalidad directa o por transferencia.</w:t>
            </w:r>
          </w:p>
          <w:p w14:paraId="34FEB053" w14:textId="217E7697" w:rsidR="006D59B2" w:rsidRPr="00B7051F" w:rsidRDefault="006D59B2" w:rsidP="00094882">
            <w:pPr>
              <w:pStyle w:val="Prrafodelista"/>
              <w:numPr>
                <w:ilvl w:val="0"/>
                <w:numId w:val="1"/>
              </w:numPr>
              <w:ind w:left="313" w:hanging="219"/>
              <w:rPr>
                <w:rFonts w:ascii="Arial" w:hAnsi="Arial" w:cs="Arial"/>
                <w:sz w:val="18"/>
                <w:szCs w:val="18"/>
              </w:rPr>
            </w:pPr>
            <w:r w:rsidRPr="00B7051F">
              <w:rPr>
                <w:rFonts w:ascii="Arial" w:hAnsi="Arial" w:cs="Arial"/>
                <w:sz w:val="18"/>
                <w:szCs w:val="18"/>
              </w:rPr>
              <w:t xml:space="preserve">Incluye los proyectos </w:t>
            </w:r>
            <w:proofErr w:type="spellStart"/>
            <w:r w:rsidR="008A12B8" w:rsidRPr="008A12B8">
              <w:rPr>
                <w:rFonts w:ascii="Arial" w:hAnsi="Arial" w:cs="Arial"/>
                <w:sz w:val="18"/>
                <w:szCs w:val="18"/>
              </w:rPr>
              <w:t>r</w:t>
            </w:r>
            <w:r w:rsidRPr="008A12B8">
              <w:rPr>
                <w:rFonts w:ascii="Arial" w:hAnsi="Arial" w:cs="Arial"/>
                <w:sz w:val="18"/>
                <w:szCs w:val="18"/>
              </w:rPr>
              <w:t>ecepcionados</w:t>
            </w:r>
            <w:proofErr w:type="spellEnd"/>
            <w:r w:rsidRPr="00B7051F">
              <w:rPr>
                <w:rFonts w:ascii="Arial" w:hAnsi="Arial" w:cs="Arial"/>
                <w:sz w:val="18"/>
                <w:szCs w:val="18"/>
              </w:rPr>
              <w:t xml:space="preserve"> en el periodo de medición.</w:t>
            </w:r>
          </w:p>
        </w:tc>
      </w:tr>
      <w:tr w:rsidR="006D59B2" w:rsidRPr="00B7051F" w14:paraId="15B9DEE3" w14:textId="77777777" w:rsidTr="00094882">
        <w:trPr>
          <w:trHeight w:val="173"/>
        </w:trPr>
        <w:tc>
          <w:tcPr>
            <w:tcW w:w="8639" w:type="dxa"/>
            <w:tcBorders>
              <w:top w:val="single" w:sz="4" w:space="0" w:color="auto"/>
              <w:left w:val="single" w:sz="4" w:space="0" w:color="auto"/>
              <w:bottom w:val="single" w:sz="4" w:space="0" w:color="auto"/>
              <w:right w:val="single" w:sz="4" w:space="0" w:color="auto"/>
            </w:tcBorders>
            <w:vAlign w:val="center"/>
          </w:tcPr>
          <w:p w14:paraId="241005C3" w14:textId="77777777" w:rsidR="006D59B2" w:rsidRPr="00B7051F" w:rsidRDefault="006D59B2" w:rsidP="00094882">
            <w:pPr>
              <w:rPr>
                <w:rFonts w:ascii="Arial" w:hAnsi="Arial" w:cs="Arial"/>
                <w:sz w:val="18"/>
                <w:szCs w:val="18"/>
              </w:rPr>
            </w:pPr>
            <w:r w:rsidRPr="00B7051F">
              <w:rPr>
                <w:rFonts w:ascii="Arial" w:hAnsi="Arial" w:cs="Arial"/>
                <w:b/>
                <w:bCs/>
                <w:sz w:val="18"/>
                <w:szCs w:val="18"/>
              </w:rPr>
              <w:t>Limitaciones del indicador</w:t>
            </w:r>
          </w:p>
        </w:tc>
      </w:tr>
      <w:tr w:rsidR="006D59B2" w:rsidRPr="00B7051F" w14:paraId="55174D7D" w14:textId="77777777" w:rsidTr="00094882">
        <w:trPr>
          <w:trHeight w:val="218"/>
        </w:trPr>
        <w:tc>
          <w:tcPr>
            <w:tcW w:w="8639" w:type="dxa"/>
            <w:tcBorders>
              <w:top w:val="single" w:sz="4" w:space="0" w:color="auto"/>
              <w:left w:val="single" w:sz="4" w:space="0" w:color="auto"/>
              <w:bottom w:val="single" w:sz="4" w:space="0" w:color="auto"/>
              <w:right w:val="single" w:sz="4" w:space="0" w:color="auto"/>
            </w:tcBorders>
            <w:vAlign w:val="center"/>
          </w:tcPr>
          <w:p w14:paraId="16A8642A" w14:textId="4F569CA6" w:rsidR="006D59B2" w:rsidRPr="00B7051F" w:rsidRDefault="00F97E92" w:rsidP="00094882">
            <w:pPr>
              <w:pStyle w:val="Prrafodelista"/>
              <w:numPr>
                <w:ilvl w:val="0"/>
                <w:numId w:val="2"/>
              </w:numPr>
              <w:ind w:left="447"/>
              <w:rPr>
                <w:rFonts w:ascii="Arial" w:hAnsi="Arial" w:cs="Arial"/>
                <w:sz w:val="18"/>
                <w:szCs w:val="18"/>
              </w:rPr>
            </w:pPr>
            <w:r w:rsidRPr="00270478">
              <w:rPr>
                <w:rFonts w:ascii="Arial" w:hAnsi="Arial" w:cs="Arial"/>
                <w:sz w:val="18"/>
                <w:szCs w:val="18"/>
              </w:rPr>
              <w:t>La brecha de acceso a agua potable por red pública se reporta con un año de rezago y su publicación depende de la publicación de datos del INEI.</w:t>
            </w:r>
          </w:p>
        </w:tc>
      </w:tr>
      <w:tr w:rsidR="006D59B2" w:rsidRPr="00B7051F" w14:paraId="1C3C5A24" w14:textId="77777777" w:rsidTr="00094882">
        <w:trPr>
          <w:trHeight w:val="173"/>
        </w:trPr>
        <w:tc>
          <w:tcPr>
            <w:tcW w:w="8639" w:type="dxa"/>
            <w:tcBorders>
              <w:top w:val="single" w:sz="4" w:space="0" w:color="auto"/>
              <w:left w:val="single" w:sz="4" w:space="0" w:color="auto"/>
              <w:bottom w:val="single" w:sz="4" w:space="0" w:color="auto"/>
              <w:right w:val="single" w:sz="4" w:space="0" w:color="auto"/>
            </w:tcBorders>
            <w:vAlign w:val="center"/>
          </w:tcPr>
          <w:p w14:paraId="7A049105" w14:textId="77777777" w:rsidR="006D59B2" w:rsidRPr="00B7051F" w:rsidRDefault="006D59B2" w:rsidP="00094882">
            <w:pPr>
              <w:rPr>
                <w:rFonts w:ascii="Arial" w:hAnsi="Arial" w:cs="Arial"/>
                <w:sz w:val="18"/>
                <w:szCs w:val="18"/>
              </w:rPr>
            </w:pPr>
            <w:r w:rsidRPr="00B7051F">
              <w:rPr>
                <w:rFonts w:ascii="Arial" w:hAnsi="Arial" w:cs="Arial"/>
                <w:b/>
                <w:bCs/>
                <w:sz w:val="18"/>
                <w:szCs w:val="18"/>
              </w:rPr>
              <w:t xml:space="preserve">Supuestos </w:t>
            </w:r>
          </w:p>
        </w:tc>
      </w:tr>
      <w:tr w:rsidR="006D59B2" w:rsidRPr="00B7051F" w14:paraId="00307A3A" w14:textId="77777777" w:rsidTr="00094882">
        <w:trPr>
          <w:trHeight w:val="236"/>
        </w:trPr>
        <w:tc>
          <w:tcPr>
            <w:tcW w:w="8639" w:type="dxa"/>
            <w:tcBorders>
              <w:top w:val="single" w:sz="4" w:space="0" w:color="auto"/>
              <w:left w:val="single" w:sz="4" w:space="0" w:color="auto"/>
              <w:bottom w:val="single" w:sz="4" w:space="0" w:color="auto"/>
              <w:right w:val="single" w:sz="4" w:space="0" w:color="auto"/>
            </w:tcBorders>
            <w:vAlign w:val="center"/>
          </w:tcPr>
          <w:p w14:paraId="525ACB27" w14:textId="77777777" w:rsidR="006D59B2" w:rsidRPr="00B7051F" w:rsidRDefault="006D59B2" w:rsidP="00094882">
            <w:pPr>
              <w:pStyle w:val="Prrafodelista"/>
              <w:numPr>
                <w:ilvl w:val="0"/>
                <w:numId w:val="2"/>
              </w:numPr>
              <w:ind w:left="312" w:hanging="227"/>
              <w:contextualSpacing w:val="0"/>
              <w:rPr>
                <w:rFonts w:ascii="Arial" w:hAnsi="Arial" w:cs="Arial"/>
                <w:sz w:val="18"/>
                <w:szCs w:val="18"/>
              </w:rPr>
            </w:pPr>
            <w:r w:rsidRPr="00B7051F">
              <w:rPr>
                <w:rFonts w:ascii="Arial" w:hAnsi="Arial" w:cs="Arial"/>
                <w:sz w:val="18"/>
                <w:szCs w:val="18"/>
              </w:rPr>
              <w:t xml:space="preserve">Se mantiene actualizada la base de datos del SSP. </w:t>
            </w:r>
          </w:p>
        </w:tc>
      </w:tr>
      <w:tr w:rsidR="006D59B2" w:rsidRPr="00B7051F" w14:paraId="159EA200" w14:textId="77777777" w:rsidTr="00094882">
        <w:trPr>
          <w:trHeight w:val="173"/>
        </w:trPr>
        <w:tc>
          <w:tcPr>
            <w:tcW w:w="8639" w:type="dxa"/>
            <w:tcBorders>
              <w:top w:val="single" w:sz="4" w:space="0" w:color="auto"/>
              <w:left w:val="single" w:sz="4" w:space="0" w:color="auto"/>
              <w:bottom w:val="single" w:sz="4" w:space="0" w:color="auto"/>
              <w:right w:val="single" w:sz="4" w:space="0" w:color="auto"/>
            </w:tcBorders>
            <w:vAlign w:val="center"/>
          </w:tcPr>
          <w:p w14:paraId="5ECDBB7D" w14:textId="77777777" w:rsidR="006D59B2" w:rsidRPr="00B7051F" w:rsidRDefault="006D59B2" w:rsidP="00094882">
            <w:pPr>
              <w:rPr>
                <w:rFonts w:ascii="Arial" w:hAnsi="Arial" w:cs="Arial"/>
                <w:sz w:val="18"/>
                <w:szCs w:val="18"/>
              </w:rPr>
            </w:pPr>
            <w:r w:rsidRPr="00B7051F">
              <w:rPr>
                <w:rFonts w:ascii="Arial" w:hAnsi="Arial" w:cs="Arial"/>
                <w:b/>
                <w:bCs/>
                <w:sz w:val="18"/>
                <w:szCs w:val="18"/>
              </w:rPr>
              <w:t>Fuente y base de datos</w:t>
            </w:r>
          </w:p>
        </w:tc>
      </w:tr>
      <w:tr w:rsidR="006D59B2" w:rsidRPr="00B7051F" w14:paraId="769E425F" w14:textId="77777777" w:rsidTr="00094882">
        <w:trPr>
          <w:trHeight w:val="448"/>
        </w:trPr>
        <w:tc>
          <w:tcPr>
            <w:tcW w:w="8639" w:type="dxa"/>
            <w:tcBorders>
              <w:top w:val="single" w:sz="4" w:space="0" w:color="auto"/>
              <w:left w:val="single" w:sz="4" w:space="0" w:color="auto"/>
              <w:bottom w:val="single" w:sz="4" w:space="0" w:color="auto"/>
              <w:right w:val="single" w:sz="4" w:space="0" w:color="auto"/>
            </w:tcBorders>
            <w:vAlign w:val="center"/>
          </w:tcPr>
          <w:p w14:paraId="6A28773F" w14:textId="77777777" w:rsidR="00583C89" w:rsidRPr="00B7051F" w:rsidRDefault="00583C89" w:rsidP="00583C89">
            <w:pPr>
              <w:rPr>
                <w:rFonts w:ascii="Arial" w:hAnsi="Arial" w:cs="Arial"/>
                <w:sz w:val="18"/>
                <w:szCs w:val="18"/>
              </w:rPr>
            </w:pPr>
            <w:r w:rsidRPr="00B7051F">
              <w:rPr>
                <w:rFonts w:ascii="Arial" w:hAnsi="Arial" w:cs="Arial"/>
                <w:sz w:val="18"/>
                <w:szCs w:val="18"/>
              </w:rPr>
              <w:t>Sistema de Seguimiento de Proyectos del MVCS - SSP.</w:t>
            </w:r>
          </w:p>
          <w:p w14:paraId="6C7F9C5B" w14:textId="2D738DBF" w:rsidR="006D59B2" w:rsidRPr="00B7051F" w:rsidRDefault="00583C89" w:rsidP="00583C89">
            <w:pPr>
              <w:rPr>
                <w:rFonts w:ascii="Arial" w:hAnsi="Arial" w:cs="Arial"/>
                <w:sz w:val="18"/>
                <w:szCs w:val="18"/>
              </w:rPr>
            </w:pPr>
            <w:r w:rsidRPr="00B7051F">
              <w:rPr>
                <w:rFonts w:ascii="Arial" w:hAnsi="Arial" w:cs="Arial"/>
                <w:sz w:val="18"/>
                <w:szCs w:val="18"/>
              </w:rPr>
              <w:t>Base de datos de Brecha del sector de OGEI</w:t>
            </w:r>
          </w:p>
        </w:tc>
      </w:tr>
    </w:tbl>
    <w:p w14:paraId="34B8AFFA" w14:textId="77777777" w:rsidR="006D59B2" w:rsidRPr="00F244A5" w:rsidRDefault="006D59B2"/>
    <w:p w14:paraId="0BAB137F" w14:textId="77777777" w:rsidR="005E3B1F" w:rsidRDefault="005E3B1F"/>
    <w:p w14:paraId="2C01AD19" w14:textId="77777777" w:rsidR="001A5656" w:rsidRDefault="001A5656"/>
    <w:p w14:paraId="575A5A35" w14:textId="77777777" w:rsidR="001A5656" w:rsidRDefault="001A5656"/>
    <w:p w14:paraId="40437557" w14:textId="77777777" w:rsidR="001A5656" w:rsidRDefault="001A5656"/>
    <w:p w14:paraId="76F950BC" w14:textId="77777777" w:rsidR="001A5656" w:rsidRDefault="001A5656"/>
    <w:p w14:paraId="5190D98E" w14:textId="77777777" w:rsidR="0045398B" w:rsidRDefault="0045398B"/>
    <w:p w14:paraId="3CF6FCF2" w14:textId="77777777" w:rsidR="0045398B" w:rsidRDefault="0045398B"/>
    <w:p w14:paraId="48C46552" w14:textId="77777777" w:rsidR="00F97E92" w:rsidRPr="00F244A5" w:rsidRDefault="00F97E92"/>
    <w:tbl>
      <w:tblPr>
        <w:tblStyle w:val="Tablaconcuadrcula"/>
        <w:tblW w:w="9067" w:type="dxa"/>
        <w:tblLayout w:type="fixed"/>
        <w:tblLook w:val="04A0" w:firstRow="1" w:lastRow="0" w:firstColumn="1" w:lastColumn="0" w:noHBand="0" w:noVBand="1"/>
      </w:tblPr>
      <w:tblGrid>
        <w:gridCol w:w="1271"/>
        <w:gridCol w:w="1132"/>
        <w:gridCol w:w="1422"/>
        <w:gridCol w:w="2977"/>
        <w:gridCol w:w="2265"/>
      </w:tblGrid>
      <w:tr w:rsidR="00F244A5" w:rsidRPr="00F97E92" w14:paraId="3B27703A" w14:textId="77777777" w:rsidTr="00617328">
        <w:trPr>
          <w:trHeight w:val="708"/>
        </w:trPr>
        <w:tc>
          <w:tcPr>
            <w:tcW w:w="9067" w:type="dxa"/>
            <w:gridSpan w:val="5"/>
          </w:tcPr>
          <w:p w14:paraId="054C1661" w14:textId="77777777" w:rsidR="00B16099" w:rsidRPr="00F97E92" w:rsidRDefault="00B16099" w:rsidP="005156FC">
            <w:pPr>
              <w:spacing w:line="276" w:lineRule="auto"/>
              <w:jc w:val="center"/>
              <w:rPr>
                <w:rFonts w:ascii="Arial" w:hAnsi="Arial"/>
                <w:b/>
                <w:snapToGrid w:val="0"/>
                <w:sz w:val="18"/>
                <w:szCs w:val="18"/>
              </w:rPr>
            </w:pPr>
            <w:r w:rsidRPr="00F97E92">
              <w:rPr>
                <w:rFonts w:ascii="Arial" w:hAnsi="Arial"/>
                <w:b/>
                <w:snapToGrid w:val="0"/>
                <w:sz w:val="18"/>
                <w:szCs w:val="18"/>
              </w:rPr>
              <w:lastRenderedPageBreak/>
              <w:t>FICHA TÉCNICA DE INDICADOR DE GESTIÓN</w:t>
            </w:r>
          </w:p>
          <w:p w14:paraId="53032822" w14:textId="77777777" w:rsidR="00B16099" w:rsidRPr="00F97E92" w:rsidRDefault="00B16099" w:rsidP="005156FC">
            <w:pPr>
              <w:spacing w:line="276" w:lineRule="auto"/>
              <w:jc w:val="center"/>
              <w:rPr>
                <w:rFonts w:ascii="Arial" w:hAnsi="Arial"/>
                <w:b/>
                <w:snapToGrid w:val="0"/>
                <w:sz w:val="18"/>
                <w:szCs w:val="18"/>
              </w:rPr>
            </w:pPr>
            <w:r w:rsidRPr="00F97E92">
              <w:rPr>
                <w:rFonts w:ascii="Arial" w:hAnsi="Arial"/>
                <w:b/>
                <w:snapToGrid w:val="0"/>
                <w:sz w:val="18"/>
                <w:szCs w:val="18"/>
              </w:rPr>
              <w:t>MINISTERIO DE VIVIENDA, CONSTRUCCIÓN Y SANEAMIENTO</w:t>
            </w:r>
          </w:p>
        </w:tc>
      </w:tr>
      <w:tr w:rsidR="00F244A5" w:rsidRPr="00F97E92" w14:paraId="4203A6E3" w14:textId="77777777" w:rsidTr="00617328">
        <w:trPr>
          <w:trHeight w:val="229"/>
        </w:trPr>
        <w:tc>
          <w:tcPr>
            <w:tcW w:w="9067" w:type="dxa"/>
            <w:gridSpan w:val="5"/>
          </w:tcPr>
          <w:p w14:paraId="73092CAC" w14:textId="77777777" w:rsidR="00B16099" w:rsidRPr="00F97E92" w:rsidRDefault="00B16099" w:rsidP="005156FC">
            <w:pPr>
              <w:jc w:val="center"/>
              <w:rPr>
                <w:rFonts w:ascii="Arial" w:hAnsi="Arial" w:cs="Arial"/>
                <w:b/>
                <w:bCs/>
                <w:sz w:val="18"/>
                <w:szCs w:val="18"/>
              </w:rPr>
            </w:pPr>
            <w:r w:rsidRPr="00F97E92">
              <w:rPr>
                <w:rFonts w:ascii="Arial" w:hAnsi="Arial" w:cs="Arial"/>
                <w:b/>
                <w:bCs/>
                <w:sz w:val="18"/>
                <w:szCs w:val="18"/>
              </w:rPr>
              <w:t>Nombre del Indicador</w:t>
            </w:r>
          </w:p>
        </w:tc>
      </w:tr>
      <w:tr w:rsidR="00F244A5" w:rsidRPr="00F97E92" w14:paraId="52C8E3A0" w14:textId="77777777" w:rsidTr="00617328">
        <w:trPr>
          <w:trHeight w:val="558"/>
        </w:trPr>
        <w:tc>
          <w:tcPr>
            <w:tcW w:w="9067" w:type="dxa"/>
            <w:gridSpan w:val="5"/>
            <w:shd w:val="clear" w:color="auto" w:fill="auto"/>
            <w:vAlign w:val="center"/>
          </w:tcPr>
          <w:p w14:paraId="21263B97" w14:textId="01E13B6F" w:rsidR="00B16099" w:rsidRPr="00F97E92" w:rsidRDefault="00B16099" w:rsidP="005156FC">
            <w:pPr>
              <w:ind w:left="720"/>
              <w:jc w:val="center"/>
              <w:rPr>
                <w:rFonts w:ascii="Arial" w:hAnsi="Arial" w:cs="Arial"/>
                <w:sz w:val="18"/>
                <w:szCs w:val="18"/>
              </w:rPr>
            </w:pPr>
            <w:r w:rsidRPr="00F97E92">
              <w:rPr>
                <w:rFonts w:ascii="Arial" w:hAnsi="Arial" w:cs="Arial"/>
                <w:sz w:val="18"/>
                <w:szCs w:val="18"/>
              </w:rPr>
              <w:t xml:space="preserve">Porcentaje de hogares rurales </w:t>
            </w:r>
            <w:r w:rsidR="00792E08" w:rsidRPr="00F97E92">
              <w:rPr>
                <w:rFonts w:ascii="Arial" w:hAnsi="Arial" w:cs="Arial"/>
                <w:sz w:val="18"/>
                <w:szCs w:val="18"/>
              </w:rPr>
              <w:t>que acceden a vivienda</w:t>
            </w:r>
            <w:r w:rsidR="007D5A67" w:rsidRPr="00F97E92">
              <w:rPr>
                <w:rFonts w:ascii="Arial" w:hAnsi="Arial" w:cs="Arial"/>
                <w:sz w:val="18"/>
                <w:szCs w:val="18"/>
              </w:rPr>
              <w:t xml:space="preserve"> mejorada</w:t>
            </w:r>
            <w:r w:rsidRPr="00F97E92">
              <w:rPr>
                <w:rFonts w:ascii="Arial" w:hAnsi="Arial" w:cs="Arial"/>
                <w:sz w:val="18"/>
                <w:szCs w:val="18"/>
              </w:rPr>
              <w:t xml:space="preserve"> </w:t>
            </w:r>
          </w:p>
        </w:tc>
      </w:tr>
      <w:tr w:rsidR="00F244A5" w:rsidRPr="00F97E92" w14:paraId="4F3BAE1E" w14:textId="77777777" w:rsidTr="00617328">
        <w:trPr>
          <w:trHeight w:val="258"/>
        </w:trPr>
        <w:tc>
          <w:tcPr>
            <w:tcW w:w="1271" w:type="dxa"/>
            <w:vAlign w:val="center"/>
          </w:tcPr>
          <w:p w14:paraId="7FD14DCF" w14:textId="77777777" w:rsidR="00B16099" w:rsidRPr="00F97E92" w:rsidRDefault="00B16099" w:rsidP="005156FC">
            <w:pPr>
              <w:jc w:val="center"/>
              <w:rPr>
                <w:rFonts w:ascii="Arial" w:hAnsi="Arial" w:cs="Arial"/>
                <w:sz w:val="18"/>
                <w:szCs w:val="18"/>
              </w:rPr>
            </w:pPr>
            <w:r w:rsidRPr="00F97E92">
              <w:rPr>
                <w:rFonts w:ascii="Arial" w:hAnsi="Arial" w:cs="Arial"/>
                <w:b/>
                <w:bCs/>
                <w:sz w:val="18"/>
                <w:szCs w:val="18"/>
              </w:rPr>
              <w:t>Unidad de Medida</w:t>
            </w:r>
          </w:p>
        </w:tc>
        <w:tc>
          <w:tcPr>
            <w:tcW w:w="1132" w:type="dxa"/>
            <w:vAlign w:val="center"/>
          </w:tcPr>
          <w:p w14:paraId="1BA2F27E" w14:textId="77777777" w:rsidR="00B16099" w:rsidRPr="00F97E92" w:rsidRDefault="00B16099" w:rsidP="005156FC">
            <w:pPr>
              <w:jc w:val="center"/>
              <w:rPr>
                <w:rFonts w:ascii="Arial" w:hAnsi="Arial" w:cs="Arial"/>
                <w:b/>
                <w:sz w:val="18"/>
                <w:szCs w:val="18"/>
              </w:rPr>
            </w:pPr>
            <w:r w:rsidRPr="00F97E92">
              <w:rPr>
                <w:rFonts w:ascii="Arial" w:hAnsi="Arial" w:cs="Arial"/>
                <w:b/>
                <w:sz w:val="18"/>
                <w:szCs w:val="18"/>
              </w:rPr>
              <w:t>Ámbito</w:t>
            </w:r>
          </w:p>
        </w:tc>
        <w:tc>
          <w:tcPr>
            <w:tcW w:w="1422" w:type="dxa"/>
            <w:vAlign w:val="center"/>
          </w:tcPr>
          <w:p w14:paraId="553D7BA7" w14:textId="77777777" w:rsidR="00B16099" w:rsidRPr="00F97E92" w:rsidRDefault="00B16099" w:rsidP="005156FC">
            <w:pPr>
              <w:jc w:val="center"/>
              <w:rPr>
                <w:rFonts w:ascii="Arial" w:hAnsi="Arial" w:cs="Arial"/>
                <w:sz w:val="18"/>
                <w:szCs w:val="18"/>
              </w:rPr>
            </w:pPr>
            <w:r w:rsidRPr="00F97E92">
              <w:rPr>
                <w:rFonts w:ascii="Arial" w:hAnsi="Arial" w:cs="Arial"/>
                <w:b/>
                <w:sz w:val="18"/>
                <w:szCs w:val="18"/>
              </w:rPr>
              <w:t>Frecuencia</w:t>
            </w:r>
          </w:p>
        </w:tc>
        <w:tc>
          <w:tcPr>
            <w:tcW w:w="2977" w:type="dxa"/>
            <w:vAlign w:val="center"/>
          </w:tcPr>
          <w:p w14:paraId="32BD9221" w14:textId="77777777" w:rsidR="00B16099" w:rsidRPr="00F97E92" w:rsidRDefault="00B16099" w:rsidP="005156FC">
            <w:pPr>
              <w:jc w:val="center"/>
              <w:rPr>
                <w:rFonts w:ascii="Arial" w:hAnsi="Arial" w:cs="Arial"/>
                <w:sz w:val="18"/>
                <w:szCs w:val="18"/>
              </w:rPr>
            </w:pPr>
            <w:r w:rsidRPr="00F97E92">
              <w:rPr>
                <w:rFonts w:ascii="Arial" w:hAnsi="Arial" w:cs="Arial"/>
                <w:b/>
                <w:sz w:val="18"/>
                <w:szCs w:val="18"/>
              </w:rPr>
              <w:t>Responsable de información</w:t>
            </w:r>
          </w:p>
        </w:tc>
        <w:tc>
          <w:tcPr>
            <w:tcW w:w="2265" w:type="dxa"/>
            <w:vAlign w:val="center"/>
          </w:tcPr>
          <w:p w14:paraId="2D9BDB60" w14:textId="77777777" w:rsidR="00B16099" w:rsidRPr="00F97E92" w:rsidRDefault="00B16099" w:rsidP="005156FC">
            <w:pPr>
              <w:jc w:val="center"/>
              <w:rPr>
                <w:rFonts w:ascii="Arial" w:hAnsi="Arial" w:cs="Arial"/>
                <w:b/>
                <w:sz w:val="18"/>
                <w:szCs w:val="18"/>
              </w:rPr>
            </w:pPr>
            <w:r w:rsidRPr="00F97E92">
              <w:rPr>
                <w:rFonts w:ascii="Arial" w:hAnsi="Arial" w:cs="Arial"/>
                <w:b/>
                <w:sz w:val="18"/>
                <w:szCs w:val="18"/>
              </w:rPr>
              <w:t>Responsable del cálculo</w:t>
            </w:r>
          </w:p>
        </w:tc>
      </w:tr>
      <w:tr w:rsidR="00126AA5" w:rsidRPr="00F97E92" w14:paraId="3F3D201B" w14:textId="77777777" w:rsidTr="00617328">
        <w:trPr>
          <w:trHeight w:val="430"/>
        </w:trPr>
        <w:tc>
          <w:tcPr>
            <w:tcW w:w="1271" w:type="dxa"/>
            <w:vAlign w:val="center"/>
          </w:tcPr>
          <w:p w14:paraId="3F93903D" w14:textId="77777777" w:rsidR="00B16099" w:rsidRPr="00F97E92" w:rsidRDefault="00B16099" w:rsidP="005156FC">
            <w:pPr>
              <w:jc w:val="center"/>
              <w:rPr>
                <w:rFonts w:ascii="Arial" w:hAnsi="Arial" w:cs="Arial"/>
                <w:sz w:val="18"/>
                <w:szCs w:val="18"/>
              </w:rPr>
            </w:pPr>
            <w:r w:rsidRPr="00F97E92">
              <w:rPr>
                <w:rFonts w:ascii="Arial" w:hAnsi="Arial" w:cs="Arial"/>
                <w:sz w:val="18"/>
                <w:szCs w:val="18"/>
              </w:rPr>
              <w:t>Porcentaje</w:t>
            </w:r>
          </w:p>
        </w:tc>
        <w:tc>
          <w:tcPr>
            <w:tcW w:w="1132" w:type="dxa"/>
            <w:vAlign w:val="center"/>
          </w:tcPr>
          <w:p w14:paraId="1B1137C0" w14:textId="77777777" w:rsidR="00B16099" w:rsidRPr="00F97E92" w:rsidRDefault="00B16099" w:rsidP="005156FC">
            <w:pPr>
              <w:jc w:val="center"/>
              <w:rPr>
                <w:rFonts w:ascii="Arial" w:hAnsi="Arial" w:cs="Arial"/>
                <w:sz w:val="18"/>
                <w:szCs w:val="18"/>
              </w:rPr>
            </w:pPr>
            <w:r w:rsidRPr="00F97E92">
              <w:rPr>
                <w:rFonts w:ascii="Arial" w:hAnsi="Arial" w:cs="Arial"/>
                <w:sz w:val="18"/>
                <w:szCs w:val="18"/>
              </w:rPr>
              <w:t>Departamental</w:t>
            </w:r>
          </w:p>
        </w:tc>
        <w:tc>
          <w:tcPr>
            <w:tcW w:w="1422" w:type="dxa"/>
            <w:vAlign w:val="center"/>
          </w:tcPr>
          <w:p w14:paraId="7E946E14" w14:textId="77777777" w:rsidR="00B16099" w:rsidRPr="00F97E92" w:rsidRDefault="00B16099" w:rsidP="005156FC">
            <w:pPr>
              <w:jc w:val="center"/>
              <w:rPr>
                <w:rFonts w:ascii="Arial" w:hAnsi="Arial" w:cs="Arial"/>
                <w:sz w:val="18"/>
                <w:szCs w:val="18"/>
              </w:rPr>
            </w:pPr>
            <w:r w:rsidRPr="00F97E92">
              <w:rPr>
                <w:rFonts w:ascii="Arial" w:hAnsi="Arial" w:cs="Arial"/>
                <w:sz w:val="18"/>
                <w:szCs w:val="18"/>
              </w:rPr>
              <w:t>Trimestral</w:t>
            </w:r>
          </w:p>
        </w:tc>
        <w:tc>
          <w:tcPr>
            <w:tcW w:w="2977" w:type="dxa"/>
            <w:vAlign w:val="center"/>
          </w:tcPr>
          <w:p w14:paraId="0B189541" w14:textId="77777777" w:rsidR="00B16099" w:rsidRPr="00F97E92" w:rsidRDefault="00B16099" w:rsidP="005156FC">
            <w:pPr>
              <w:jc w:val="center"/>
              <w:rPr>
                <w:rFonts w:ascii="Arial" w:hAnsi="Arial" w:cs="Arial"/>
                <w:sz w:val="18"/>
                <w:szCs w:val="18"/>
              </w:rPr>
            </w:pPr>
            <w:r w:rsidRPr="00F97E92">
              <w:rPr>
                <w:rFonts w:ascii="Arial" w:hAnsi="Arial" w:cs="Arial"/>
                <w:sz w:val="18"/>
                <w:szCs w:val="18"/>
              </w:rPr>
              <w:t>Programa Nacional de Vivienda Rural</w:t>
            </w:r>
          </w:p>
          <w:p w14:paraId="1F4FF159" w14:textId="0A521C69" w:rsidR="00B2181F" w:rsidRPr="00F97E92" w:rsidRDefault="00B2181F" w:rsidP="005156FC">
            <w:pPr>
              <w:jc w:val="center"/>
              <w:rPr>
                <w:rFonts w:ascii="Arial" w:hAnsi="Arial" w:cs="Arial"/>
                <w:sz w:val="18"/>
                <w:szCs w:val="18"/>
              </w:rPr>
            </w:pPr>
          </w:p>
        </w:tc>
        <w:tc>
          <w:tcPr>
            <w:tcW w:w="2265" w:type="dxa"/>
            <w:vAlign w:val="center"/>
          </w:tcPr>
          <w:p w14:paraId="58EAB561" w14:textId="77777777" w:rsidR="00B16099" w:rsidRPr="00F97E92" w:rsidRDefault="00B16099" w:rsidP="005156FC">
            <w:pPr>
              <w:jc w:val="center"/>
              <w:rPr>
                <w:rFonts w:ascii="Arial" w:hAnsi="Arial" w:cs="Arial"/>
                <w:sz w:val="18"/>
                <w:szCs w:val="18"/>
              </w:rPr>
            </w:pPr>
            <w:r w:rsidRPr="00F97E92">
              <w:rPr>
                <w:rFonts w:ascii="Arial" w:hAnsi="Arial" w:cs="Arial"/>
                <w:sz w:val="18"/>
                <w:szCs w:val="18"/>
              </w:rPr>
              <w:t>OGMEI</w:t>
            </w:r>
          </w:p>
        </w:tc>
      </w:tr>
      <w:tr w:rsidR="00F244A5" w:rsidRPr="0075710B" w14:paraId="543DF53E" w14:textId="77777777" w:rsidTr="00617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1"/>
        </w:trPr>
        <w:tc>
          <w:tcPr>
            <w:tcW w:w="90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AD0B860" w14:textId="77777777" w:rsidR="00B16099" w:rsidRPr="0075710B" w:rsidRDefault="00B16099" w:rsidP="005156FC">
            <w:pPr>
              <w:rPr>
                <w:rFonts w:ascii="Arial" w:hAnsi="Arial" w:cs="Arial"/>
                <w:b/>
                <w:sz w:val="18"/>
                <w:szCs w:val="18"/>
              </w:rPr>
            </w:pPr>
            <w:r w:rsidRPr="0075710B">
              <w:rPr>
                <w:rFonts w:ascii="Arial" w:hAnsi="Arial" w:cs="Arial"/>
                <w:b/>
                <w:bCs/>
                <w:sz w:val="18"/>
                <w:szCs w:val="18"/>
              </w:rPr>
              <w:t>Definición</w:t>
            </w:r>
          </w:p>
        </w:tc>
      </w:tr>
      <w:tr w:rsidR="00F244A5" w:rsidRPr="0075710B" w14:paraId="6BE1317A" w14:textId="77777777" w:rsidTr="00617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4"/>
        </w:trPr>
        <w:tc>
          <w:tcPr>
            <w:tcW w:w="90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F63878" w14:textId="225067C2" w:rsidR="00B16099" w:rsidRPr="0075710B" w:rsidRDefault="00B16099" w:rsidP="00F97E92">
            <w:pPr>
              <w:jc w:val="both"/>
              <w:rPr>
                <w:rFonts w:ascii="Arial" w:hAnsi="Arial" w:cs="Arial"/>
                <w:sz w:val="18"/>
                <w:szCs w:val="18"/>
              </w:rPr>
            </w:pPr>
            <w:r w:rsidRPr="0075710B">
              <w:rPr>
                <w:rFonts w:ascii="Arial" w:hAnsi="Arial" w:cs="Arial"/>
                <w:sz w:val="18"/>
                <w:szCs w:val="18"/>
              </w:rPr>
              <w:t xml:space="preserve">El indicador mide el porcentaje de hogares </w:t>
            </w:r>
            <w:r w:rsidR="000E7F77" w:rsidRPr="0075710B">
              <w:rPr>
                <w:rFonts w:ascii="Arial" w:hAnsi="Arial" w:cs="Arial"/>
                <w:sz w:val="18"/>
                <w:szCs w:val="18"/>
              </w:rPr>
              <w:t>que acceden a vivienda</w:t>
            </w:r>
            <w:r w:rsidR="00033DE5" w:rsidRPr="0075710B">
              <w:rPr>
                <w:rFonts w:ascii="Arial" w:hAnsi="Arial" w:cs="Arial"/>
                <w:sz w:val="18"/>
                <w:szCs w:val="18"/>
              </w:rPr>
              <w:t xml:space="preserve"> </w:t>
            </w:r>
            <w:proofErr w:type="spellStart"/>
            <w:r w:rsidR="00033DE5" w:rsidRPr="0075710B">
              <w:rPr>
                <w:rFonts w:ascii="Arial" w:hAnsi="Arial" w:cs="Arial"/>
                <w:sz w:val="18"/>
                <w:szCs w:val="18"/>
              </w:rPr>
              <w:t>Wasiymi</w:t>
            </w:r>
            <w:proofErr w:type="spellEnd"/>
            <w:r w:rsidR="00033DE5" w:rsidRPr="0075710B">
              <w:rPr>
                <w:rFonts w:ascii="Arial" w:hAnsi="Arial" w:cs="Arial"/>
                <w:sz w:val="18"/>
                <w:szCs w:val="18"/>
              </w:rPr>
              <w:t>,</w:t>
            </w:r>
            <w:r w:rsidR="00877C4B" w:rsidRPr="0075710B">
              <w:rPr>
                <w:rFonts w:ascii="Arial" w:hAnsi="Arial" w:cs="Arial"/>
                <w:sz w:val="18"/>
                <w:szCs w:val="18"/>
              </w:rPr>
              <w:t xml:space="preserve"> </w:t>
            </w:r>
            <w:r w:rsidR="008858C9" w:rsidRPr="0075710B">
              <w:rPr>
                <w:rFonts w:ascii="Arial" w:hAnsi="Arial" w:cs="Arial"/>
                <w:sz w:val="18"/>
                <w:szCs w:val="18"/>
              </w:rPr>
              <w:t>con relación a</w:t>
            </w:r>
            <w:r w:rsidR="00ED713C" w:rsidRPr="0075710B">
              <w:rPr>
                <w:rFonts w:ascii="Arial" w:hAnsi="Arial" w:cs="Arial"/>
                <w:sz w:val="18"/>
                <w:szCs w:val="18"/>
              </w:rPr>
              <w:t xml:space="preserve"> </w:t>
            </w:r>
            <w:r w:rsidR="001C091B" w:rsidRPr="0075710B">
              <w:rPr>
                <w:rFonts w:ascii="Arial" w:hAnsi="Arial" w:cs="Arial"/>
                <w:sz w:val="18"/>
                <w:szCs w:val="18"/>
              </w:rPr>
              <w:t xml:space="preserve">la cantidad de </w:t>
            </w:r>
            <w:r w:rsidR="008858C9" w:rsidRPr="0075710B">
              <w:rPr>
                <w:rFonts w:ascii="Arial" w:hAnsi="Arial" w:cs="Arial"/>
                <w:sz w:val="18"/>
                <w:szCs w:val="18"/>
              </w:rPr>
              <w:t xml:space="preserve">hogares </w:t>
            </w:r>
            <w:r w:rsidR="00F97E92" w:rsidRPr="0075710B">
              <w:rPr>
                <w:rFonts w:ascii="Arial" w:hAnsi="Arial" w:cs="Arial"/>
                <w:sz w:val="18"/>
                <w:szCs w:val="18"/>
              </w:rPr>
              <w:t>de zonas rurales que</w:t>
            </w:r>
            <w:r w:rsidR="00ED713C" w:rsidRPr="0075710B">
              <w:rPr>
                <w:rFonts w:ascii="Arial" w:hAnsi="Arial" w:cs="Arial"/>
                <w:sz w:val="18"/>
                <w:szCs w:val="18"/>
              </w:rPr>
              <w:t xml:space="preserve"> se enc</w:t>
            </w:r>
            <w:r w:rsidR="00F97E92" w:rsidRPr="0075710B">
              <w:rPr>
                <w:rFonts w:ascii="Arial" w:hAnsi="Arial" w:cs="Arial"/>
                <w:sz w:val="18"/>
                <w:szCs w:val="18"/>
              </w:rPr>
              <w:t>uentran en situación de pobreza.</w:t>
            </w:r>
          </w:p>
        </w:tc>
      </w:tr>
      <w:tr w:rsidR="00F244A5" w:rsidRPr="0075710B" w14:paraId="1BD78220" w14:textId="77777777" w:rsidTr="00617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1"/>
        </w:trPr>
        <w:tc>
          <w:tcPr>
            <w:tcW w:w="90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340603" w14:textId="77777777" w:rsidR="00B16099" w:rsidRPr="0075710B" w:rsidRDefault="00B16099" w:rsidP="005156FC">
            <w:pPr>
              <w:rPr>
                <w:rFonts w:ascii="Arial" w:hAnsi="Arial" w:cs="Arial"/>
                <w:b/>
                <w:sz w:val="18"/>
                <w:szCs w:val="18"/>
              </w:rPr>
            </w:pPr>
            <w:r w:rsidRPr="0075710B">
              <w:rPr>
                <w:rFonts w:ascii="Arial" w:hAnsi="Arial" w:cs="Arial"/>
                <w:b/>
                <w:bCs/>
                <w:sz w:val="18"/>
                <w:szCs w:val="18"/>
              </w:rPr>
              <w:t>Justificación</w:t>
            </w:r>
          </w:p>
        </w:tc>
      </w:tr>
      <w:tr w:rsidR="00F244A5" w:rsidRPr="0075710B" w14:paraId="2EC6306D" w14:textId="77777777" w:rsidTr="00617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1"/>
        </w:trPr>
        <w:tc>
          <w:tcPr>
            <w:tcW w:w="90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F5C1A0B" w14:textId="082EC353" w:rsidR="00F7349A" w:rsidRPr="0075710B" w:rsidRDefault="00CC5E05" w:rsidP="00CC5E05">
            <w:pPr>
              <w:jc w:val="both"/>
              <w:rPr>
                <w:rFonts w:ascii="Arial" w:hAnsi="Arial" w:cs="Arial"/>
                <w:sz w:val="18"/>
                <w:szCs w:val="18"/>
              </w:rPr>
            </w:pPr>
            <w:r w:rsidRPr="0075710B">
              <w:rPr>
                <w:rFonts w:ascii="Arial" w:hAnsi="Arial" w:cs="Arial"/>
                <w:sz w:val="18"/>
                <w:szCs w:val="18"/>
              </w:rPr>
              <w:t xml:space="preserve">El sector entrega </w:t>
            </w:r>
            <w:r w:rsidR="00B16099" w:rsidRPr="0075710B">
              <w:rPr>
                <w:rFonts w:ascii="Arial" w:hAnsi="Arial" w:cs="Arial"/>
                <w:sz w:val="18"/>
                <w:szCs w:val="18"/>
              </w:rPr>
              <w:t>vivienda</w:t>
            </w:r>
            <w:r w:rsidRPr="0075710B">
              <w:rPr>
                <w:rFonts w:ascii="Arial" w:hAnsi="Arial" w:cs="Arial"/>
                <w:sz w:val="18"/>
                <w:szCs w:val="18"/>
              </w:rPr>
              <w:t>s</w:t>
            </w:r>
            <w:r w:rsidR="00B16099" w:rsidRPr="0075710B">
              <w:rPr>
                <w:rFonts w:ascii="Arial" w:hAnsi="Arial" w:cs="Arial"/>
                <w:sz w:val="18"/>
                <w:szCs w:val="18"/>
              </w:rPr>
              <w:t xml:space="preserve"> rural</w:t>
            </w:r>
            <w:r w:rsidRPr="0075710B">
              <w:rPr>
                <w:rFonts w:ascii="Arial" w:hAnsi="Arial" w:cs="Arial"/>
                <w:sz w:val="18"/>
                <w:szCs w:val="18"/>
              </w:rPr>
              <w:t>es</w:t>
            </w:r>
            <w:r w:rsidR="00B16099" w:rsidRPr="0075710B">
              <w:rPr>
                <w:rFonts w:ascii="Arial" w:hAnsi="Arial" w:cs="Arial"/>
                <w:sz w:val="18"/>
                <w:szCs w:val="18"/>
              </w:rPr>
              <w:t xml:space="preserve"> </w:t>
            </w:r>
            <w:r w:rsidRPr="0075710B">
              <w:rPr>
                <w:rFonts w:ascii="Arial" w:hAnsi="Arial" w:cs="Arial"/>
                <w:sz w:val="18"/>
                <w:szCs w:val="18"/>
              </w:rPr>
              <w:t>a</w:t>
            </w:r>
            <w:r w:rsidR="00B16099" w:rsidRPr="0075710B">
              <w:rPr>
                <w:rFonts w:ascii="Arial" w:hAnsi="Arial" w:cs="Arial"/>
                <w:sz w:val="18"/>
                <w:szCs w:val="18"/>
              </w:rPr>
              <w:t xml:space="preserve"> </w:t>
            </w:r>
            <w:r w:rsidR="0024552E" w:rsidRPr="0075710B">
              <w:rPr>
                <w:rFonts w:ascii="Arial" w:hAnsi="Arial" w:cs="Arial"/>
                <w:sz w:val="18"/>
                <w:szCs w:val="18"/>
              </w:rPr>
              <w:t>la población</w:t>
            </w:r>
            <w:r w:rsidR="00B16099" w:rsidRPr="0075710B">
              <w:rPr>
                <w:rFonts w:ascii="Arial" w:hAnsi="Arial" w:cs="Arial"/>
                <w:sz w:val="18"/>
                <w:szCs w:val="18"/>
              </w:rPr>
              <w:t xml:space="preserve"> que se encuentran en situación de pobreza y pobreza extrema</w:t>
            </w:r>
            <w:r w:rsidRPr="0075710B">
              <w:rPr>
                <w:rFonts w:ascii="Arial" w:hAnsi="Arial" w:cs="Arial"/>
                <w:sz w:val="18"/>
                <w:szCs w:val="18"/>
              </w:rPr>
              <w:t xml:space="preserve">, que les permita </w:t>
            </w:r>
            <w:r w:rsidR="00B16099" w:rsidRPr="0075710B">
              <w:rPr>
                <w:rFonts w:ascii="Arial" w:hAnsi="Arial" w:cs="Arial"/>
                <w:sz w:val="18"/>
                <w:szCs w:val="18"/>
              </w:rPr>
              <w:t xml:space="preserve">mejorar su calidad de vida, generar igualdad de oportunidades y desarrollar y fortalecer sus capacidades individuales y comunitarias. </w:t>
            </w:r>
            <w:r w:rsidRPr="0075710B">
              <w:rPr>
                <w:rFonts w:ascii="Arial" w:hAnsi="Arial" w:cs="Arial"/>
                <w:sz w:val="18"/>
                <w:szCs w:val="18"/>
              </w:rPr>
              <w:t xml:space="preserve">Dichas viviendas, </w:t>
            </w:r>
            <w:r w:rsidR="00B16099" w:rsidRPr="0075710B">
              <w:rPr>
                <w:rFonts w:ascii="Arial" w:hAnsi="Arial" w:cs="Arial"/>
                <w:sz w:val="18"/>
                <w:szCs w:val="18"/>
              </w:rPr>
              <w:t>provee</w:t>
            </w:r>
            <w:r w:rsidRPr="0075710B">
              <w:rPr>
                <w:rFonts w:ascii="Arial" w:hAnsi="Arial" w:cs="Arial"/>
                <w:sz w:val="18"/>
                <w:szCs w:val="18"/>
              </w:rPr>
              <w:t>n</w:t>
            </w:r>
            <w:r w:rsidR="00B16099" w:rsidRPr="0075710B">
              <w:rPr>
                <w:rFonts w:ascii="Arial" w:hAnsi="Arial" w:cs="Arial"/>
                <w:sz w:val="18"/>
                <w:szCs w:val="18"/>
              </w:rPr>
              <w:t xml:space="preserve"> confort térmico y seguridad sismo resistente a los hogares con el propósito de reducir la vulnerabilidad frente a situaciones extremas como heladas (sierra) y friaje (selva).</w:t>
            </w:r>
            <w:r w:rsidRPr="0075710B">
              <w:rPr>
                <w:rFonts w:ascii="Arial" w:hAnsi="Arial" w:cs="Arial"/>
                <w:sz w:val="18"/>
                <w:szCs w:val="18"/>
              </w:rPr>
              <w:t xml:space="preserve"> </w:t>
            </w:r>
          </w:p>
          <w:p w14:paraId="7034A5B6" w14:textId="4D47FAB4" w:rsidR="00B16099" w:rsidRPr="0075710B" w:rsidRDefault="00CC5E05" w:rsidP="00CC5E05">
            <w:pPr>
              <w:jc w:val="both"/>
              <w:rPr>
                <w:rFonts w:ascii="Arial" w:hAnsi="Arial" w:cs="Arial"/>
                <w:sz w:val="18"/>
                <w:szCs w:val="18"/>
              </w:rPr>
            </w:pPr>
            <w:r w:rsidRPr="0075710B">
              <w:rPr>
                <w:rFonts w:ascii="Arial" w:hAnsi="Arial" w:cs="Arial"/>
                <w:sz w:val="18"/>
                <w:szCs w:val="18"/>
              </w:rPr>
              <w:t xml:space="preserve">En ese sentido, </w:t>
            </w:r>
            <w:r w:rsidR="00B16099" w:rsidRPr="0075710B">
              <w:rPr>
                <w:rFonts w:ascii="Arial" w:hAnsi="Arial" w:cs="Arial"/>
                <w:sz w:val="18"/>
                <w:szCs w:val="18"/>
              </w:rPr>
              <w:t xml:space="preserve">el </w:t>
            </w:r>
            <w:r w:rsidRPr="0075710B">
              <w:rPr>
                <w:rFonts w:ascii="Arial" w:hAnsi="Arial" w:cs="Arial"/>
                <w:sz w:val="18"/>
                <w:szCs w:val="18"/>
              </w:rPr>
              <w:t xml:space="preserve">presente </w:t>
            </w:r>
            <w:r w:rsidR="00B16099" w:rsidRPr="0075710B">
              <w:rPr>
                <w:rFonts w:ascii="Arial" w:hAnsi="Arial" w:cs="Arial"/>
                <w:sz w:val="18"/>
                <w:szCs w:val="18"/>
              </w:rPr>
              <w:t xml:space="preserve">indicador permitirá medir la cantidad de hogares que </w:t>
            </w:r>
            <w:r w:rsidR="002C48C1" w:rsidRPr="0075710B">
              <w:rPr>
                <w:rFonts w:ascii="Arial" w:hAnsi="Arial" w:cs="Arial"/>
                <w:sz w:val="18"/>
                <w:szCs w:val="18"/>
              </w:rPr>
              <w:t xml:space="preserve">acceden a </w:t>
            </w:r>
            <w:r w:rsidR="00B16099" w:rsidRPr="0075710B">
              <w:rPr>
                <w:rFonts w:ascii="Arial" w:hAnsi="Arial" w:cs="Arial"/>
                <w:sz w:val="18"/>
                <w:szCs w:val="18"/>
              </w:rPr>
              <w:t xml:space="preserve">viviendas </w:t>
            </w:r>
            <w:proofErr w:type="spellStart"/>
            <w:r w:rsidR="00B16099" w:rsidRPr="0075710B">
              <w:rPr>
                <w:rFonts w:ascii="Arial" w:hAnsi="Arial" w:cs="Arial"/>
                <w:sz w:val="18"/>
                <w:szCs w:val="18"/>
              </w:rPr>
              <w:t>Wasiymi</w:t>
            </w:r>
            <w:proofErr w:type="spellEnd"/>
            <w:r w:rsidR="00B16099" w:rsidRPr="0075710B">
              <w:rPr>
                <w:rFonts w:ascii="Arial" w:hAnsi="Arial" w:cs="Arial"/>
                <w:sz w:val="18"/>
                <w:szCs w:val="18"/>
              </w:rPr>
              <w:t xml:space="preserve"> para mejorar </w:t>
            </w:r>
            <w:r w:rsidR="00E3204A" w:rsidRPr="0075710B">
              <w:rPr>
                <w:rFonts w:ascii="Arial" w:hAnsi="Arial" w:cs="Arial"/>
                <w:sz w:val="18"/>
                <w:szCs w:val="18"/>
              </w:rPr>
              <w:t xml:space="preserve">las </w:t>
            </w:r>
            <w:r w:rsidR="00B16099" w:rsidRPr="0075710B">
              <w:rPr>
                <w:rFonts w:ascii="Arial" w:hAnsi="Arial" w:cs="Arial"/>
                <w:sz w:val="18"/>
                <w:szCs w:val="18"/>
              </w:rPr>
              <w:t>condiciones de vida</w:t>
            </w:r>
            <w:r w:rsidR="00F97E92" w:rsidRPr="0075710B">
              <w:rPr>
                <w:rFonts w:ascii="Arial" w:hAnsi="Arial" w:cs="Arial"/>
                <w:sz w:val="18"/>
                <w:szCs w:val="18"/>
              </w:rPr>
              <w:t xml:space="preserve"> de sus miembros, respecto el total hogares de zonas rurales en situación de pobreza.</w:t>
            </w:r>
          </w:p>
        </w:tc>
      </w:tr>
      <w:tr w:rsidR="00F244A5" w:rsidRPr="0075710B" w14:paraId="752860E5" w14:textId="77777777" w:rsidTr="00617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1"/>
        </w:trPr>
        <w:tc>
          <w:tcPr>
            <w:tcW w:w="90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AB3F770" w14:textId="77777777" w:rsidR="00B16099" w:rsidRPr="0075710B" w:rsidRDefault="00B16099" w:rsidP="005156FC">
            <w:pPr>
              <w:rPr>
                <w:rFonts w:ascii="Arial" w:hAnsi="Arial" w:cs="Arial"/>
                <w:b/>
                <w:sz w:val="18"/>
                <w:szCs w:val="18"/>
              </w:rPr>
            </w:pPr>
            <w:r w:rsidRPr="0075710B">
              <w:rPr>
                <w:rFonts w:ascii="Arial" w:hAnsi="Arial" w:cs="Arial"/>
                <w:b/>
                <w:sz w:val="18"/>
                <w:szCs w:val="18"/>
              </w:rPr>
              <w:t>Método de Cálculo</w:t>
            </w:r>
          </w:p>
        </w:tc>
      </w:tr>
      <w:tr w:rsidR="00F244A5" w:rsidRPr="0075710B" w14:paraId="05BDDFF4" w14:textId="77777777" w:rsidTr="00617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
        </w:trPr>
        <w:tc>
          <w:tcPr>
            <w:tcW w:w="9067" w:type="dxa"/>
            <w:gridSpan w:val="5"/>
            <w:tcBorders>
              <w:top w:val="single" w:sz="4" w:space="0" w:color="auto"/>
              <w:left w:val="single" w:sz="4" w:space="0" w:color="auto"/>
              <w:bottom w:val="single" w:sz="4" w:space="0" w:color="auto"/>
              <w:right w:val="single" w:sz="4" w:space="0" w:color="auto"/>
            </w:tcBorders>
            <w:vAlign w:val="center"/>
          </w:tcPr>
          <w:p w14:paraId="48B9D4BA" w14:textId="77777777" w:rsidR="001A5656" w:rsidRPr="0075710B" w:rsidRDefault="001A5656" w:rsidP="001A5656">
            <w:pPr>
              <w:jc w:val="both"/>
              <w:rPr>
                <w:rFonts w:ascii="Arial" w:hAnsi="Arial" w:cs="Arial"/>
                <w:sz w:val="18"/>
                <w:szCs w:val="18"/>
              </w:rPr>
            </w:pPr>
          </w:p>
          <w:p w14:paraId="0649DFA9" w14:textId="001EB95E" w:rsidR="001A5656" w:rsidRPr="0075710B" w:rsidRDefault="001A5656" w:rsidP="001A5656">
            <w:pPr>
              <w:jc w:val="both"/>
              <w:rPr>
                <w:rFonts w:ascii="Arial" w:hAnsi="Arial" w:cs="Arial"/>
                <w:sz w:val="18"/>
                <w:szCs w:val="18"/>
              </w:rPr>
            </w:pPr>
            <w:r w:rsidRPr="0075710B">
              <w:rPr>
                <w:rFonts w:ascii="Arial" w:hAnsi="Arial" w:cs="Arial"/>
                <w:sz w:val="18"/>
                <w:szCs w:val="18"/>
              </w:rPr>
              <w:t xml:space="preserve">Fórmula </w:t>
            </w:r>
            <m:oMath>
              <m:r>
                <w:rPr>
                  <w:rFonts w:ascii="Cambria Math" w:eastAsiaTheme="minorEastAsia" w:hAnsi="Cambria Math" w:cs="Arial"/>
                  <w:sz w:val="18"/>
                  <w:szCs w:val="18"/>
                </w:rPr>
                <m:t>=</m:t>
              </m:r>
              <m:f>
                <m:fPr>
                  <m:ctrlPr>
                    <w:rPr>
                      <w:rFonts w:ascii="Cambria Math" w:eastAsiaTheme="minorEastAsia" w:hAnsi="Cambria Math" w:cs="Arial"/>
                      <w:i/>
                      <w:sz w:val="18"/>
                      <w:szCs w:val="18"/>
                    </w:rPr>
                  </m:ctrlPr>
                </m:fPr>
                <m:num>
                  <m:sSub>
                    <m:sSubPr>
                      <m:ctrlPr>
                        <w:rPr>
                          <w:rFonts w:ascii="Cambria Math" w:eastAsiaTheme="minorEastAsia" w:hAnsi="Cambria Math" w:cs="Arial"/>
                          <w:i/>
                          <w:w w:val="105"/>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it</m:t>
                      </m:r>
                    </m:sub>
                  </m:sSub>
                </m:num>
                <m:den>
                  <m:sSub>
                    <m:sSubPr>
                      <m:ctrlPr>
                        <w:rPr>
                          <w:rFonts w:ascii="Cambria Math" w:eastAsiaTheme="minorEastAsia" w:hAnsi="Cambria Math" w:cs="Arial"/>
                          <w:i/>
                          <w:w w:val="105"/>
                          <w:sz w:val="18"/>
                          <w:szCs w:val="18"/>
                        </w:rPr>
                      </m:ctrlPr>
                    </m:sSubPr>
                    <m:e>
                      <m:r>
                        <w:rPr>
                          <w:rFonts w:ascii="Cambria Math" w:eastAsiaTheme="minorEastAsia" w:hAnsi="Cambria Math" w:cs="Arial"/>
                          <w:sz w:val="18"/>
                          <w:szCs w:val="18"/>
                        </w:rPr>
                        <m:t>N</m:t>
                      </m:r>
                    </m:e>
                    <m:sub>
                      <m:r>
                        <w:rPr>
                          <w:rFonts w:ascii="Cambria Math" w:eastAsiaTheme="minorEastAsia" w:hAnsi="Cambria Math" w:cs="Arial"/>
                          <w:sz w:val="18"/>
                          <w:szCs w:val="18"/>
                        </w:rPr>
                        <m:t>t</m:t>
                      </m:r>
                    </m:sub>
                  </m:sSub>
                </m:den>
              </m:f>
            </m:oMath>
            <w:r w:rsidRPr="0075710B">
              <w:rPr>
                <w:rFonts w:ascii="Arial" w:eastAsiaTheme="minorEastAsia" w:hAnsi="Arial" w:cs="Arial"/>
                <w:sz w:val="18"/>
                <w:szCs w:val="18"/>
              </w:rPr>
              <w:t>x100</w:t>
            </w:r>
          </w:p>
          <w:p w14:paraId="5B15FFFA" w14:textId="77777777" w:rsidR="001A5656" w:rsidRPr="0075710B" w:rsidRDefault="001A5656" w:rsidP="001A5656">
            <w:pPr>
              <w:jc w:val="both"/>
              <w:rPr>
                <w:rFonts w:ascii="Arial" w:hAnsi="Arial" w:cs="Arial"/>
                <w:sz w:val="18"/>
                <w:szCs w:val="18"/>
                <w:lang w:val="es-ES"/>
              </w:rPr>
            </w:pPr>
          </w:p>
          <w:p w14:paraId="760A12C0" w14:textId="77777777" w:rsidR="001A5656" w:rsidRPr="0075710B" w:rsidRDefault="001A5656" w:rsidP="001A5656">
            <w:pPr>
              <w:jc w:val="both"/>
              <w:rPr>
                <w:rFonts w:ascii="Arial" w:hAnsi="Arial" w:cs="Arial"/>
                <w:sz w:val="18"/>
                <w:szCs w:val="18"/>
                <w:lang w:val="es-ES"/>
              </w:rPr>
            </w:pPr>
            <w:r w:rsidRPr="0075710B">
              <w:rPr>
                <w:rFonts w:ascii="Arial" w:hAnsi="Arial" w:cs="Arial"/>
                <w:sz w:val="18"/>
                <w:szCs w:val="18"/>
                <w:lang w:val="es-ES"/>
              </w:rPr>
              <w:t>Donde:</w:t>
            </w:r>
          </w:p>
          <w:p w14:paraId="38C54A44" w14:textId="5D60F3AB" w:rsidR="001A5656" w:rsidRDefault="001A5656" w:rsidP="001A5656">
            <w:pPr>
              <w:ind w:left="306" w:hanging="284"/>
              <w:jc w:val="both"/>
              <w:rPr>
                <w:rFonts w:ascii="Arial" w:hAnsi="Arial" w:cs="Arial"/>
                <w:sz w:val="18"/>
                <w:szCs w:val="18"/>
              </w:rPr>
            </w:pPr>
            <w:r w:rsidRPr="0075710B">
              <w:rPr>
                <w:rFonts w:ascii="Arial" w:hAnsi="Arial" w:cs="Arial"/>
                <w:sz w:val="18"/>
                <w:szCs w:val="18"/>
              </w:rPr>
              <w:t xml:space="preserve">X = Número de hogares que acceden a viviendas </w:t>
            </w:r>
            <w:proofErr w:type="spellStart"/>
            <w:r w:rsidRPr="0075710B">
              <w:rPr>
                <w:rFonts w:ascii="Arial" w:hAnsi="Arial" w:cs="Arial"/>
                <w:sz w:val="18"/>
                <w:szCs w:val="18"/>
              </w:rPr>
              <w:t>Wasiymi</w:t>
            </w:r>
            <w:proofErr w:type="spellEnd"/>
            <w:r w:rsidRPr="0075710B">
              <w:rPr>
                <w:rFonts w:ascii="Arial" w:hAnsi="Arial" w:cs="Arial"/>
                <w:sz w:val="18"/>
                <w:szCs w:val="18"/>
              </w:rPr>
              <w:t xml:space="preserve"> por trimestre </w:t>
            </w:r>
            <w:r w:rsidR="002B225A" w:rsidRPr="0075710B">
              <w:rPr>
                <w:rFonts w:ascii="Arial" w:hAnsi="Arial" w:cs="Arial"/>
                <w:sz w:val="18"/>
                <w:szCs w:val="18"/>
              </w:rPr>
              <w:t>i</w:t>
            </w:r>
            <w:r w:rsidRPr="0075710B">
              <w:rPr>
                <w:rFonts w:ascii="Arial" w:hAnsi="Arial" w:cs="Arial"/>
                <w:sz w:val="18"/>
                <w:szCs w:val="18"/>
              </w:rPr>
              <w:t xml:space="preserve"> del año t.</w:t>
            </w:r>
          </w:p>
          <w:p w14:paraId="205B2BCF" w14:textId="77777777" w:rsidR="0075710B" w:rsidRPr="0075710B" w:rsidRDefault="0075710B" w:rsidP="0075710B">
            <w:pPr>
              <w:jc w:val="both"/>
              <w:rPr>
                <w:rFonts w:ascii="Arial" w:hAnsi="Arial" w:cs="Arial"/>
                <w:sz w:val="18"/>
                <w:szCs w:val="18"/>
              </w:rPr>
            </w:pPr>
            <w:r w:rsidRPr="0075710B">
              <w:rPr>
                <w:rFonts w:ascii="Arial" w:hAnsi="Arial" w:cs="Arial"/>
                <w:sz w:val="18"/>
                <w:szCs w:val="18"/>
                <w:lang w:val="es-ES"/>
              </w:rPr>
              <w:t>N=</w:t>
            </w:r>
            <w:r w:rsidRPr="0075710B">
              <w:rPr>
                <w:rFonts w:ascii="Arial" w:hAnsi="Arial" w:cs="Arial"/>
                <w:sz w:val="18"/>
                <w:szCs w:val="18"/>
              </w:rPr>
              <w:t xml:space="preserve"> Número total de hogares rurales que se encuentran en situación de pobreza en el año t</w:t>
            </w:r>
          </w:p>
          <w:p w14:paraId="03BEEA00" w14:textId="60E680AF" w:rsidR="001A5656" w:rsidRPr="0075710B" w:rsidRDefault="002B225A" w:rsidP="001A5656">
            <w:pPr>
              <w:ind w:left="306" w:hanging="284"/>
              <w:jc w:val="both"/>
              <w:rPr>
                <w:rFonts w:ascii="Arial" w:hAnsi="Arial" w:cs="Arial"/>
                <w:sz w:val="18"/>
                <w:szCs w:val="18"/>
              </w:rPr>
            </w:pPr>
            <w:r w:rsidRPr="0075710B">
              <w:rPr>
                <w:rFonts w:ascii="Arial" w:hAnsi="Arial" w:cs="Arial"/>
                <w:sz w:val="18"/>
                <w:szCs w:val="18"/>
              </w:rPr>
              <w:t>i</w:t>
            </w:r>
            <w:r w:rsidR="001A5656" w:rsidRPr="0075710B">
              <w:rPr>
                <w:rFonts w:ascii="Arial" w:hAnsi="Arial" w:cs="Arial"/>
                <w:sz w:val="18"/>
                <w:szCs w:val="18"/>
              </w:rPr>
              <w:t>= trimestre</w:t>
            </w:r>
          </w:p>
          <w:p w14:paraId="4E23A691" w14:textId="77777777" w:rsidR="001A5656" w:rsidRPr="0075710B" w:rsidRDefault="001A5656" w:rsidP="001A5656">
            <w:pPr>
              <w:ind w:left="306" w:hanging="284"/>
              <w:jc w:val="both"/>
              <w:rPr>
                <w:rFonts w:ascii="Arial" w:hAnsi="Arial" w:cs="Arial"/>
                <w:sz w:val="18"/>
                <w:szCs w:val="18"/>
              </w:rPr>
            </w:pPr>
            <w:r w:rsidRPr="0075710B">
              <w:rPr>
                <w:rFonts w:ascii="Arial" w:hAnsi="Arial" w:cs="Arial"/>
                <w:sz w:val="18"/>
                <w:szCs w:val="18"/>
              </w:rPr>
              <w:t>n=año</w:t>
            </w:r>
          </w:p>
          <w:p w14:paraId="19B84C88" w14:textId="77777777" w:rsidR="00B16099" w:rsidRPr="0075710B" w:rsidRDefault="00B16099" w:rsidP="005156FC">
            <w:pPr>
              <w:rPr>
                <w:rFonts w:ascii="Arial" w:hAnsi="Arial" w:cs="Arial"/>
                <w:sz w:val="18"/>
                <w:szCs w:val="18"/>
              </w:rPr>
            </w:pPr>
          </w:p>
          <w:p w14:paraId="4E5CCB55" w14:textId="77777777" w:rsidR="00B16099" w:rsidRPr="0075710B" w:rsidRDefault="00B16099" w:rsidP="005156FC">
            <w:pPr>
              <w:rPr>
                <w:rFonts w:ascii="Arial" w:hAnsi="Arial" w:cs="Arial"/>
                <w:b/>
                <w:sz w:val="18"/>
                <w:szCs w:val="18"/>
              </w:rPr>
            </w:pPr>
            <w:r w:rsidRPr="0075710B">
              <w:rPr>
                <w:rFonts w:ascii="Arial" w:hAnsi="Arial" w:cs="Arial"/>
                <w:b/>
                <w:sz w:val="18"/>
                <w:szCs w:val="18"/>
              </w:rPr>
              <w:t>Precisiones:</w:t>
            </w:r>
          </w:p>
          <w:p w14:paraId="26C005E5" w14:textId="77777777" w:rsidR="00451B5E" w:rsidRPr="0075710B" w:rsidRDefault="00B16099" w:rsidP="00451B5E">
            <w:pPr>
              <w:pStyle w:val="Prrafodelista"/>
              <w:numPr>
                <w:ilvl w:val="0"/>
                <w:numId w:val="1"/>
              </w:numPr>
              <w:ind w:left="454"/>
              <w:jc w:val="both"/>
              <w:rPr>
                <w:rFonts w:ascii="Arial" w:hAnsi="Arial" w:cs="Arial"/>
                <w:sz w:val="18"/>
                <w:szCs w:val="18"/>
              </w:rPr>
            </w:pPr>
            <w:r w:rsidRPr="0075710B">
              <w:rPr>
                <w:rFonts w:ascii="Arial" w:hAnsi="Arial" w:cs="Arial"/>
                <w:sz w:val="18"/>
                <w:szCs w:val="18"/>
              </w:rPr>
              <w:t>Los hogares que recibieron viviendas son aquellas que cuentan con el Acta de Entrega y Recepción de Obra</w:t>
            </w:r>
          </w:p>
          <w:p w14:paraId="3CE84BB9" w14:textId="2A176206" w:rsidR="00B16099" w:rsidRPr="0075710B" w:rsidRDefault="00451B5E" w:rsidP="00451B5E">
            <w:pPr>
              <w:pStyle w:val="Prrafodelista"/>
              <w:numPr>
                <w:ilvl w:val="0"/>
                <w:numId w:val="1"/>
              </w:numPr>
              <w:ind w:left="454"/>
              <w:jc w:val="both"/>
              <w:rPr>
                <w:rFonts w:ascii="Arial" w:hAnsi="Arial" w:cs="Arial"/>
                <w:sz w:val="18"/>
                <w:szCs w:val="18"/>
              </w:rPr>
            </w:pPr>
            <w:r w:rsidRPr="0075710B">
              <w:rPr>
                <w:rFonts w:ascii="Arial" w:hAnsi="Arial" w:cs="Arial"/>
                <w:sz w:val="18"/>
                <w:szCs w:val="18"/>
              </w:rPr>
              <w:t>La medición oficial de la pobreza monetaria se efectúa, con la información obtenida de la Encuesta Nacional de Hogares-ENAHO. Esta medición contempla la valoración de una canasta básica de consumo alimentario y no alimentario, que se compara con el indicador del bienestar definido por el gasto total de los hogares. Aquellos individuos cuyo gasto per cápita mensual del hogar es inferior a este umbral definido por la línea de pobreza absoluta son considerados pobres.</w:t>
            </w:r>
          </w:p>
          <w:p w14:paraId="36ADD797" w14:textId="77777777" w:rsidR="00B16099" w:rsidRPr="0075710B" w:rsidRDefault="00B16099" w:rsidP="005156FC">
            <w:pPr>
              <w:pStyle w:val="Prrafodelista"/>
              <w:numPr>
                <w:ilvl w:val="0"/>
                <w:numId w:val="1"/>
              </w:numPr>
              <w:ind w:left="454"/>
              <w:jc w:val="both"/>
              <w:rPr>
                <w:rFonts w:ascii="Arial" w:hAnsi="Arial" w:cs="Arial"/>
                <w:sz w:val="18"/>
                <w:szCs w:val="18"/>
              </w:rPr>
            </w:pPr>
            <w:r w:rsidRPr="0075710B">
              <w:rPr>
                <w:rFonts w:ascii="Arial" w:hAnsi="Arial" w:cs="Arial"/>
                <w:sz w:val="18"/>
                <w:szCs w:val="18"/>
              </w:rPr>
              <w:t>Las heladas son fenómenos meteorológicos que se producen en la sierra cuando las temperaturas descienden a menos de 0°C. Vienen acompañados de lluvias, granizo.</w:t>
            </w:r>
          </w:p>
          <w:p w14:paraId="46349E76" w14:textId="77777777" w:rsidR="00B16099" w:rsidRPr="0075710B" w:rsidRDefault="00B16099" w:rsidP="005156FC">
            <w:pPr>
              <w:pStyle w:val="Prrafodelista"/>
              <w:numPr>
                <w:ilvl w:val="0"/>
                <w:numId w:val="1"/>
              </w:numPr>
              <w:ind w:left="454"/>
              <w:jc w:val="both"/>
              <w:rPr>
                <w:rFonts w:ascii="Arial" w:hAnsi="Arial" w:cs="Arial"/>
                <w:sz w:val="18"/>
                <w:szCs w:val="18"/>
              </w:rPr>
            </w:pPr>
            <w:r w:rsidRPr="0075710B">
              <w:rPr>
                <w:rFonts w:ascii="Arial" w:hAnsi="Arial" w:cs="Arial"/>
                <w:sz w:val="18"/>
                <w:szCs w:val="18"/>
              </w:rPr>
              <w:t>Los friajes son fenómenos meteorológicos que consisten en la llegada de aire frio a la selva generando descenso en la temperatura habitual.</w:t>
            </w:r>
          </w:p>
          <w:p w14:paraId="64AC54D3" w14:textId="77777777" w:rsidR="00B16099" w:rsidRDefault="00B16099" w:rsidP="00A01254">
            <w:pPr>
              <w:pStyle w:val="Prrafodelista"/>
              <w:numPr>
                <w:ilvl w:val="0"/>
                <w:numId w:val="1"/>
              </w:numPr>
              <w:ind w:left="454"/>
              <w:jc w:val="both"/>
              <w:rPr>
                <w:rFonts w:ascii="Arial" w:hAnsi="Arial" w:cs="Arial"/>
                <w:sz w:val="18"/>
                <w:szCs w:val="18"/>
              </w:rPr>
            </w:pPr>
            <w:r w:rsidRPr="0075710B">
              <w:rPr>
                <w:rFonts w:ascii="Arial" w:hAnsi="Arial" w:cs="Arial"/>
                <w:sz w:val="18"/>
                <w:szCs w:val="18"/>
              </w:rPr>
              <w:t xml:space="preserve">El hogar está constituido por personas que comparten el presupuesto para la alimentación y pernoctan en la misma vivienda. </w:t>
            </w:r>
          </w:p>
          <w:p w14:paraId="579EE4D7" w14:textId="3ED023D5" w:rsidR="0075710B" w:rsidRPr="0075710B" w:rsidRDefault="0075710B" w:rsidP="0075710B">
            <w:pPr>
              <w:pStyle w:val="Prrafodelista"/>
              <w:ind w:left="454"/>
              <w:jc w:val="both"/>
              <w:rPr>
                <w:rFonts w:ascii="Arial" w:hAnsi="Arial" w:cs="Arial"/>
                <w:sz w:val="18"/>
                <w:szCs w:val="18"/>
              </w:rPr>
            </w:pPr>
          </w:p>
        </w:tc>
      </w:tr>
      <w:tr w:rsidR="00F244A5" w:rsidRPr="0075710B" w14:paraId="5E3EAAA1" w14:textId="77777777" w:rsidTr="00617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3"/>
        </w:trPr>
        <w:tc>
          <w:tcPr>
            <w:tcW w:w="9067" w:type="dxa"/>
            <w:gridSpan w:val="5"/>
            <w:tcBorders>
              <w:top w:val="single" w:sz="4" w:space="0" w:color="auto"/>
              <w:left w:val="single" w:sz="4" w:space="0" w:color="auto"/>
              <w:bottom w:val="single" w:sz="4" w:space="0" w:color="auto"/>
              <w:right w:val="single" w:sz="4" w:space="0" w:color="auto"/>
            </w:tcBorders>
            <w:vAlign w:val="center"/>
          </w:tcPr>
          <w:p w14:paraId="604550EE" w14:textId="77777777" w:rsidR="00B16099" w:rsidRPr="0075710B" w:rsidRDefault="00B16099" w:rsidP="005156FC">
            <w:pPr>
              <w:rPr>
                <w:rFonts w:ascii="Arial" w:hAnsi="Arial" w:cs="Arial"/>
                <w:sz w:val="18"/>
                <w:szCs w:val="18"/>
              </w:rPr>
            </w:pPr>
            <w:r w:rsidRPr="0075710B">
              <w:rPr>
                <w:rFonts w:ascii="Arial" w:hAnsi="Arial" w:cs="Arial"/>
                <w:b/>
                <w:bCs/>
                <w:sz w:val="18"/>
                <w:szCs w:val="18"/>
              </w:rPr>
              <w:t>Limitaciones del indicador</w:t>
            </w:r>
          </w:p>
        </w:tc>
      </w:tr>
      <w:tr w:rsidR="00F244A5" w:rsidRPr="0075710B" w14:paraId="0CDE19C0" w14:textId="77777777" w:rsidTr="00617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3"/>
        </w:trPr>
        <w:tc>
          <w:tcPr>
            <w:tcW w:w="9067" w:type="dxa"/>
            <w:gridSpan w:val="5"/>
            <w:tcBorders>
              <w:top w:val="single" w:sz="4" w:space="0" w:color="auto"/>
              <w:left w:val="single" w:sz="4" w:space="0" w:color="auto"/>
              <w:bottom w:val="single" w:sz="4" w:space="0" w:color="auto"/>
              <w:right w:val="single" w:sz="4" w:space="0" w:color="auto"/>
            </w:tcBorders>
            <w:vAlign w:val="center"/>
          </w:tcPr>
          <w:p w14:paraId="5BB6B035" w14:textId="36CE4958" w:rsidR="00B16099" w:rsidRPr="0075710B" w:rsidRDefault="002B225A" w:rsidP="005156FC">
            <w:pPr>
              <w:pStyle w:val="Prrafodelista"/>
              <w:numPr>
                <w:ilvl w:val="0"/>
                <w:numId w:val="1"/>
              </w:numPr>
              <w:ind w:left="455"/>
              <w:rPr>
                <w:rFonts w:ascii="Arial" w:hAnsi="Arial" w:cs="Arial"/>
                <w:sz w:val="18"/>
                <w:szCs w:val="18"/>
              </w:rPr>
            </w:pPr>
            <w:r w:rsidRPr="0075710B">
              <w:rPr>
                <w:rFonts w:ascii="Arial" w:hAnsi="Arial" w:cs="Arial"/>
                <w:sz w:val="18"/>
                <w:szCs w:val="18"/>
              </w:rPr>
              <w:t>El indicador de pobreza lo reporta el INEI en la ENAHO con rezago de un año</w:t>
            </w:r>
          </w:p>
          <w:p w14:paraId="423F1E6F" w14:textId="77777777" w:rsidR="00215243" w:rsidRDefault="002B225A" w:rsidP="005156FC">
            <w:pPr>
              <w:pStyle w:val="Prrafodelista"/>
              <w:numPr>
                <w:ilvl w:val="0"/>
                <w:numId w:val="1"/>
              </w:numPr>
              <w:ind w:left="455"/>
              <w:rPr>
                <w:rFonts w:ascii="Arial" w:hAnsi="Arial" w:cs="Arial"/>
                <w:sz w:val="18"/>
                <w:szCs w:val="18"/>
              </w:rPr>
            </w:pPr>
            <w:r w:rsidRPr="0075710B">
              <w:rPr>
                <w:rFonts w:ascii="Arial" w:hAnsi="Arial" w:cs="Arial"/>
                <w:sz w:val="18"/>
                <w:szCs w:val="18"/>
              </w:rPr>
              <w:t xml:space="preserve">Los primeros trimestres del año el PNVR inicia la </w:t>
            </w:r>
            <w:proofErr w:type="gramStart"/>
            <w:r w:rsidRPr="0075710B">
              <w:rPr>
                <w:rFonts w:ascii="Arial" w:hAnsi="Arial" w:cs="Arial"/>
                <w:sz w:val="18"/>
                <w:szCs w:val="18"/>
              </w:rPr>
              <w:t>etapa prepa</w:t>
            </w:r>
            <w:r w:rsidR="0075710B" w:rsidRPr="0075710B">
              <w:rPr>
                <w:rFonts w:ascii="Arial" w:hAnsi="Arial" w:cs="Arial"/>
                <w:sz w:val="18"/>
                <w:szCs w:val="18"/>
              </w:rPr>
              <w:t>ratorio</w:t>
            </w:r>
            <w:proofErr w:type="gramEnd"/>
            <w:r w:rsidR="0075710B" w:rsidRPr="0075710B">
              <w:rPr>
                <w:rFonts w:ascii="Arial" w:hAnsi="Arial" w:cs="Arial"/>
                <w:sz w:val="18"/>
                <w:szCs w:val="18"/>
              </w:rPr>
              <w:t xml:space="preserve"> para la construcción y </w:t>
            </w:r>
            <w:r w:rsidRPr="0075710B">
              <w:rPr>
                <w:rFonts w:ascii="Arial" w:hAnsi="Arial" w:cs="Arial"/>
                <w:sz w:val="18"/>
                <w:szCs w:val="18"/>
              </w:rPr>
              <w:t>entrega de módulos habitacionales por eso es probable que en el primer y segundo trimestre de cada año el indicador no sea favorable.</w:t>
            </w:r>
          </w:p>
          <w:p w14:paraId="2524B91B" w14:textId="6C47558B" w:rsidR="0075710B" w:rsidRPr="0075710B" w:rsidRDefault="0075710B" w:rsidP="0075710B">
            <w:pPr>
              <w:pStyle w:val="Prrafodelista"/>
              <w:ind w:left="455"/>
              <w:rPr>
                <w:rFonts w:ascii="Arial" w:hAnsi="Arial" w:cs="Arial"/>
                <w:sz w:val="18"/>
                <w:szCs w:val="18"/>
              </w:rPr>
            </w:pPr>
          </w:p>
        </w:tc>
      </w:tr>
      <w:tr w:rsidR="00F244A5" w:rsidRPr="0075710B" w14:paraId="5E711085" w14:textId="77777777" w:rsidTr="00617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3"/>
        </w:trPr>
        <w:tc>
          <w:tcPr>
            <w:tcW w:w="9067" w:type="dxa"/>
            <w:gridSpan w:val="5"/>
            <w:tcBorders>
              <w:top w:val="single" w:sz="4" w:space="0" w:color="auto"/>
              <w:left w:val="single" w:sz="4" w:space="0" w:color="auto"/>
              <w:bottom w:val="single" w:sz="4" w:space="0" w:color="auto"/>
              <w:right w:val="single" w:sz="4" w:space="0" w:color="auto"/>
            </w:tcBorders>
            <w:vAlign w:val="center"/>
          </w:tcPr>
          <w:p w14:paraId="3F8EA587" w14:textId="77777777" w:rsidR="00B16099" w:rsidRPr="0075710B" w:rsidRDefault="00B16099" w:rsidP="005156FC">
            <w:pPr>
              <w:rPr>
                <w:rFonts w:ascii="Arial" w:hAnsi="Arial" w:cs="Arial"/>
                <w:sz w:val="18"/>
                <w:szCs w:val="18"/>
              </w:rPr>
            </w:pPr>
            <w:r w:rsidRPr="0075710B">
              <w:rPr>
                <w:rFonts w:ascii="Arial" w:hAnsi="Arial" w:cs="Arial"/>
                <w:b/>
                <w:bCs/>
                <w:sz w:val="18"/>
                <w:szCs w:val="18"/>
              </w:rPr>
              <w:t xml:space="preserve">Supuestos </w:t>
            </w:r>
          </w:p>
        </w:tc>
      </w:tr>
      <w:tr w:rsidR="00F244A5" w:rsidRPr="0075710B" w14:paraId="409565CF" w14:textId="77777777" w:rsidTr="00617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4"/>
        </w:trPr>
        <w:tc>
          <w:tcPr>
            <w:tcW w:w="9067" w:type="dxa"/>
            <w:gridSpan w:val="5"/>
            <w:tcBorders>
              <w:top w:val="single" w:sz="4" w:space="0" w:color="auto"/>
              <w:left w:val="single" w:sz="4" w:space="0" w:color="auto"/>
              <w:bottom w:val="single" w:sz="4" w:space="0" w:color="auto"/>
              <w:right w:val="single" w:sz="4" w:space="0" w:color="auto"/>
            </w:tcBorders>
            <w:vAlign w:val="center"/>
          </w:tcPr>
          <w:p w14:paraId="3293AE69" w14:textId="77777777" w:rsidR="00B16099" w:rsidRPr="0075710B" w:rsidRDefault="00B16099" w:rsidP="005156FC">
            <w:pPr>
              <w:pStyle w:val="Prrafodelista"/>
              <w:numPr>
                <w:ilvl w:val="0"/>
                <w:numId w:val="2"/>
              </w:numPr>
              <w:ind w:left="455"/>
              <w:rPr>
                <w:rFonts w:ascii="Arial" w:hAnsi="Arial" w:cs="Arial"/>
                <w:sz w:val="18"/>
                <w:szCs w:val="18"/>
              </w:rPr>
            </w:pPr>
            <w:r w:rsidRPr="0075710B">
              <w:rPr>
                <w:rFonts w:ascii="Arial" w:hAnsi="Arial" w:cs="Arial"/>
                <w:sz w:val="18"/>
                <w:szCs w:val="18"/>
              </w:rPr>
              <w:t>El PNVR mantiene actualizada la base de datos sobre la entrega de viviendas.</w:t>
            </w:r>
          </w:p>
          <w:p w14:paraId="6696C1CB" w14:textId="77777777" w:rsidR="00B16099" w:rsidRPr="0075710B" w:rsidRDefault="00B16099" w:rsidP="005156FC">
            <w:pPr>
              <w:pStyle w:val="Prrafodelista"/>
              <w:numPr>
                <w:ilvl w:val="0"/>
                <w:numId w:val="2"/>
              </w:numPr>
              <w:ind w:left="455"/>
              <w:rPr>
                <w:rFonts w:ascii="Arial" w:hAnsi="Arial" w:cs="Arial"/>
                <w:sz w:val="18"/>
                <w:szCs w:val="18"/>
              </w:rPr>
            </w:pPr>
            <w:r w:rsidRPr="0075710B">
              <w:rPr>
                <w:rFonts w:ascii="Arial" w:hAnsi="Arial" w:cs="Arial"/>
                <w:sz w:val="18"/>
                <w:szCs w:val="18"/>
              </w:rPr>
              <w:t>El PNVR recoge información sobre la cantidad de hogares en su ámbito de intervención.</w:t>
            </w:r>
          </w:p>
        </w:tc>
      </w:tr>
      <w:tr w:rsidR="00F244A5" w:rsidRPr="0075710B" w14:paraId="56A57BF2" w14:textId="77777777" w:rsidTr="00617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3"/>
        </w:trPr>
        <w:tc>
          <w:tcPr>
            <w:tcW w:w="9067" w:type="dxa"/>
            <w:gridSpan w:val="5"/>
            <w:tcBorders>
              <w:top w:val="single" w:sz="4" w:space="0" w:color="auto"/>
              <w:left w:val="single" w:sz="4" w:space="0" w:color="auto"/>
              <w:bottom w:val="single" w:sz="4" w:space="0" w:color="auto"/>
              <w:right w:val="single" w:sz="4" w:space="0" w:color="auto"/>
            </w:tcBorders>
            <w:vAlign w:val="center"/>
          </w:tcPr>
          <w:p w14:paraId="3E6F809A" w14:textId="77777777" w:rsidR="00B16099" w:rsidRPr="0075710B" w:rsidRDefault="00B16099" w:rsidP="005156FC">
            <w:pPr>
              <w:rPr>
                <w:rFonts w:ascii="Arial" w:hAnsi="Arial" w:cs="Arial"/>
                <w:sz w:val="18"/>
                <w:szCs w:val="18"/>
              </w:rPr>
            </w:pPr>
            <w:r w:rsidRPr="0075710B">
              <w:rPr>
                <w:rFonts w:ascii="Arial" w:hAnsi="Arial" w:cs="Arial"/>
                <w:b/>
                <w:bCs/>
                <w:sz w:val="18"/>
                <w:szCs w:val="18"/>
              </w:rPr>
              <w:t>Fuente y base de datos</w:t>
            </w:r>
          </w:p>
        </w:tc>
      </w:tr>
      <w:tr w:rsidR="00126AA5" w:rsidRPr="0075710B" w14:paraId="46EDCF89" w14:textId="77777777" w:rsidTr="00617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8"/>
        </w:trPr>
        <w:tc>
          <w:tcPr>
            <w:tcW w:w="9067" w:type="dxa"/>
            <w:gridSpan w:val="5"/>
            <w:tcBorders>
              <w:top w:val="single" w:sz="4" w:space="0" w:color="auto"/>
              <w:left w:val="single" w:sz="4" w:space="0" w:color="auto"/>
              <w:bottom w:val="single" w:sz="4" w:space="0" w:color="auto"/>
              <w:right w:val="single" w:sz="4" w:space="0" w:color="auto"/>
            </w:tcBorders>
            <w:vAlign w:val="center"/>
          </w:tcPr>
          <w:p w14:paraId="133DE14C" w14:textId="47F8EB3D" w:rsidR="002B225A" w:rsidRPr="0075710B" w:rsidRDefault="002B225A" w:rsidP="005156FC">
            <w:pPr>
              <w:rPr>
                <w:rFonts w:ascii="Arial" w:hAnsi="Arial" w:cs="Arial"/>
                <w:sz w:val="18"/>
                <w:szCs w:val="18"/>
              </w:rPr>
            </w:pPr>
            <w:r w:rsidRPr="0075710B">
              <w:rPr>
                <w:rFonts w:ascii="Arial" w:hAnsi="Arial" w:cs="Arial"/>
                <w:sz w:val="18"/>
                <w:szCs w:val="18"/>
              </w:rPr>
              <w:t>Base de datos del Programa Nacional de Vivienda Rural.</w:t>
            </w:r>
          </w:p>
          <w:p w14:paraId="2590D140" w14:textId="5119DF90" w:rsidR="00B16099" w:rsidRPr="0075710B" w:rsidRDefault="006869C0" w:rsidP="005156FC">
            <w:pPr>
              <w:rPr>
                <w:rFonts w:ascii="Arial" w:hAnsi="Arial" w:cs="Arial"/>
                <w:sz w:val="18"/>
                <w:szCs w:val="18"/>
              </w:rPr>
            </w:pPr>
            <w:r w:rsidRPr="0075710B">
              <w:rPr>
                <w:rFonts w:ascii="Arial" w:hAnsi="Arial" w:cs="Arial"/>
                <w:sz w:val="18"/>
                <w:szCs w:val="18"/>
              </w:rPr>
              <w:t>Sistema de Seguimiento de Proyectos del MVCS - SSP</w:t>
            </w:r>
            <w:r w:rsidR="00B16099" w:rsidRPr="0075710B">
              <w:rPr>
                <w:rFonts w:ascii="Arial" w:hAnsi="Arial" w:cs="Arial"/>
                <w:sz w:val="18"/>
                <w:szCs w:val="18"/>
              </w:rPr>
              <w:t xml:space="preserve"> </w:t>
            </w:r>
          </w:p>
          <w:p w14:paraId="1D2F9EDA" w14:textId="26EB8E20" w:rsidR="00B16099" w:rsidRPr="0075710B" w:rsidRDefault="00B16099" w:rsidP="002B225A">
            <w:pPr>
              <w:rPr>
                <w:rFonts w:ascii="Arial" w:hAnsi="Arial" w:cs="Arial"/>
                <w:sz w:val="18"/>
                <w:szCs w:val="18"/>
              </w:rPr>
            </w:pPr>
            <w:r w:rsidRPr="0075710B">
              <w:rPr>
                <w:rFonts w:ascii="Arial" w:hAnsi="Arial" w:cs="Arial"/>
                <w:sz w:val="18"/>
                <w:szCs w:val="18"/>
              </w:rPr>
              <w:t xml:space="preserve">Base de datos de </w:t>
            </w:r>
            <w:r w:rsidR="002B225A" w:rsidRPr="0075710B">
              <w:rPr>
                <w:rFonts w:ascii="Arial" w:hAnsi="Arial" w:cs="Arial"/>
                <w:sz w:val="18"/>
                <w:szCs w:val="18"/>
              </w:rPr>
              <w:t>hogares en situación de pobreza del INEI - ENAHO</w:t>
            </w:r>
          </w:p>
        </w:tc>
      </w:tr>
    </w:tbl>
    <w:p w14:paraId="40CDD093" w14:textId="77777777" w:rsidR="00126AA5" w:rsidRDefault="00126AA5" w:rsidP="00126AA5"/>
    <w:tbl>
      <w:tblPr>
        <w:tblStyle w:val="Tablaconcuadrcula"/>
        <w:tblW w:w="8642" w:type="dxa"/>
        <w:tblLayout w:type="fixed"/>
        <w:tblLook w:val="04A0" w:firstRow="1" w:lastRow="0" w:firstColumn="1" w:lastColumn="0" w:noHBand="0" w:noVBand="1"/>
      </w:tblPr>
      <w:tblGrid>
        <w:gridCol w:w="1127"/>
        <w:gridCol w:w="1132"/>
        <w:gridCol w:w="1422"/>
        <w:gridCol w:w="2977"/>
        <w:gridCol w:w="1984"/>
      </w:tblGrid>
      <w:tr w:rsidR="00A942A5" w:rsidRPr="00F244A5" w14:paraId="1B8FB793" w14:textId="77777777" w:rsidTr="00140C63">
        <w:trPr>
          <w:trHeight w:val="708"/>
        </w:trPr>
        <w:tc>
          <w:tcPr>
            <w:tcW w:w="8642" w:type="dxa"/>
            <w:gridSpan w:val="5"/>
          </w:tcPr>
          <w:p w14:paraId="1A9E9775" w14:textId="77777777" w:rsidR="00A942A5" w:rsidRPr="00F244A5" w:rsidRDefault="00A942A5" w:rsidP="00140C63">
            <w:pPr>
              <w:spacing w:line="276" w:lineRule="auto"/>
              <w:jc w:val="center"/>
              <w:rPr>
                <w:rFonts w:ascii="Arial" w:hAnsi="Arial"/>
                <w:b/>
                <w:snapToGrid w:val="0"/>
              </w:rPr>
            </w:pPr>
            <w:r w:rsidRPr="00F244A5">
              <w:rPr>
                <w:rFonts w:ascii="Arial" w:hAnsi="Arial"/>
                <w:b/>
                <w:snapToGrid w:val="0"/>
              </w:rPr>
              <w:lastRenderedPageBreak/>
              <w:t>FICHA TÉCNICA DE INDICADOR DE GESTIÓN</w:t>
            </w:r>
          </w:p>
          <w:p w14:paraId="512535D9" w14:textId="77777777" w:rsidR="00A942A5" w:rsidRPr="00F244A5" w:rsidRDefault="00A942A5" w:rsidP="00140C63">
            <w:pPr>
              <w:spacing w:line="276" w:lineRule="auto"/>
              <w:jc w:val="center"/>
              <w:rPr>
                <w:rFonts w:ascii="Arial" w:hAnsi="Arial"/>
                <w:b/>
                <w:snapToGrid w:val="0"/>
              </w:rPr>
            </w:pPr>
            <w:r w:rsidRPr="00F244A5">
              <w:rPr>
                <w:rFonts w:ascii="Arial" w:hAnsi="Arial"/>
                <w:b/>
                <w:snapToGrid w:val="0"/>
              </w:rPr>
              <w:t>MINISTERIO DE VIVIENDA, CONSTRUCCIÓN Y SANEAMIENTO</w:t>
            </w:r>
          </w:p>
        </w:tc>
      </w:tr>
      <w:tr w:rsidR="00A942A5" w:rsidRPr="00F244A5" w14:paraId="698CDA0A" w14:textId="77777777" w:rsidTr="00140C63">
        <w:trPr>
          <w:trHeight w:val="229"/>
        </w:trPr>
        <w:tc>
          <w:tcPr>
            <w:tcW w:w="8642" w:type="dxa"/>
            <w:gridSpan w:val="5"/>
          </w:tcPr>
          <w:p w14:paraId="738251E6" w14:textId="77777777" w:rsidR="00A942A5" w:rsidRPr="00F244A5" w:rsidRDefault="00A942A5" w:rsidP="00140C63">
            <w:pPr>
              <w:jc w:val="center"/>
              <w:rPr>
                <w:rFonts w:ascii="Arial" w:hAnsi="Arial" w:cs="Arial"/>
                <w:b/>
                <w:bCs/>
                <w:sz w:val="18"/>
                <w:szCs w:val="16"/>
              </w:rPr>
            </w:pPr>
            <w:r w:rsidRPr="00F244A5">
              <w:rPr>
                <w:rFonts w:ascii="Arial" w:hAnsi="Arial" w:cs="Arial"/>
                <w:b/>
                <w:bCs/>
                <w:sz w:val="18"/>
                <w:szCs w:val="16"/>
              </w:rPr>
              <w:t>Nombre del Indicador</w:t>
            </w:r>
          </w:p>
        </w:tc>
      </w:tr>
      <w:tr w:rsidR="00A942A5" w:rsidRPr="00F244A5" w14:paraId="17C03CD5" w14:textId="77777777" w:rsidTr="00140C63">
        <w:trPr>
          <w:trHeight w:val="558"/>
        </w:trPr>
        <w:tc>
          <w:tcPr>
            <w:tcW w:w="8642" w:type="dxa"/>
            <w:gridSpan w:val="5"/>
            <w:vAlign w:val="center"/>
          </w:tcPr>
          <w:p w14:paraId="5B95AAA4" w14:textId="4F36BF3F" w:rsidR="00A942A5" w:rsidRPr="00F244A5" w:rsidRDefault="00F33776" w:rsidP="00F33776">
            <w:pPr>
              <w:ind w:left="720"/>
              <w:jc w:val="center"/>
              <w:rPr>
                <w:rFonts w:ascii="Arial" w:hAnsi="Arial" w:cs="Arial"/>
                <w:sz w:val="18"/>
                <w:szCs w:val="16"/>
              </w:rPr>
            </w:pPr>
            <w:r>
              <w:rPr>
                <w:rFonts w:ascii="Arial" w:hAnsi="Arial" w:cs="Arial"/>
                <w:sz w:val="18"/>
                <w:szCs w:val="16"/>
              </w:rPr>
              <w:t>Contribución de los</w:t>
            </w:r>
            <w:r w:rsidR="00A942A5" w:rsidRPr="00F244A5">
              <w:rPr>
                <w:rFonts w:ascii="Arial" w:hAnsi="Arial" w:cs="Arial"/>
                <w:sz w:val="18"/>
                <w:szCs w:val="16"/>
              </w:rPr>
              <w:t xml:space="preserve"> hogares que acceden a vivienda urbana</w:t>
            </w:r>
            <w:r>
              <w:rPr>
                <w:rFonts w:ascii="Arial" w:hAnsi="Arial" w:cs="Arial"/>
                <w:sz w:val="18"/>
                <w:szCs w:val="16"/>
              </w:rPr>
              <w:t xml:space="preserve"> a través del BFH (AVN y CSP) al cierre de brecha cuantitativa de vivienda</w:t>
            </w:r>
          </w:p>
        </w:tc>
      </w:tr>
      <w:tr w:rsidR="00A942A5" w:rsidRPr="00F244A5" w14:paraId="087E5F3D" w14:textId="77777777" w:rsidTr="00140C63">
        <w:trPr>
          <w:trHeight w:val="258"/>
        </w:trPr>
        <w:tc>
          <w:tcPr>
            <w:tcW w:w="1127" w:type="dxa"/>
            <w:vAlign w:val="center"/>
          </w:tcPr>
          <w:p w14:paraId="44EA7665" w14:textId="77777777" w:rsidR="00A942A5" w:rsidRPr="00F244A5" w:rsidRDefault="00A942A5" w:rsidP="00140C63">
            <w:pPr>
              <w:jc w:val="center"/>
              <w:rPr>
                <w:rFonts w:ascii="Arial" w:hAnsi="Arial" w:cs="Arial"/>
                <w:sz w:val="18"/>
                <w:szCs w:val="16"/>
              </w:rPr>
            </w:pPr>
            <w:r w:rsidRPr="00F244A5">
              <w:rPr>
                <w:rFonts w:ascii="Arial" w:hAnsi="Arial" w:cs="Arial"/>
                <w:b/>
                <w:bCs/>
                <w:sz w:val="18"/>
                <w:szCs w:val="16"/>
              </w:rPr>
              <w:t>Unidad de medida</w:t>
            </w:r>
          </w:p>
        </w:tc>
        <w:tc>
          <w:tcPr>
            <w:tcW w:w="1132" w:type="dxa"/>
            <w:vAlign w:val="center"/>
          </w:tcPr>
          <w:p w14:paraId="71CCD150" w14:textId="77777777" w:rsidR="00A942A5" w:rsidRPr="00F244A5" w:rsidRDefault="00A942A5" w:rsidP="00140C63">
            <w:pPr>
              <w:jc w:val="center"/>
              <w:rPr>
                <w:rFonts w:ascii="Arial" w:hAnsi="Arial" w:cs="Arial"/>
                <w:b/>
                <w:sz w:val="18"/>
                <w:szCs w:val="16"/>
              </w:rPr>
            </w:pPr>
            <w:r w:rsidRPr="00F244A5">
              <w:rPr>
                <w:rFonts w:ascii="Arial" w:hAnsi="Arial" w:cs="Arial"/>
                <w:b/>
                <w:sz w:val="18"/>
                <w:szCs w:val="16"/>
              </w:rPr>
              <w:t>Ámbito</w:t>
            </w:r>
          </w:p>
        </w:tc>
        <w:tc>
          <w:tcPr>
            <w:tcW w:w="1422" w:type="dxa"/>
            <w:vAlign w:val="center"/>
          </w:tcPr>
          <w:p w14:paraId="5986D4FC" w14:textId="77777777" w:rsidR="00A942A5" w:rsidRPr="00F244A5" w:rsidRDefault="00A942A5" w:rsidP="00140C63">
            <w:pPr>
              <w:jc w:val="center"/>
              <w:rPr>
                <w:rFonts w:ascii="Arial" w:hAnsi="Arial" w:cs="Arial"/>
                <w:sz w:val="18"/>
                <w:szCs w:val="16"/>
              </w:rPr>
            </w:pPr>
            <w:r w:rsidRPr="00F244A5">
              <w:rPr>
                <w:rFonts w:ascii="Arial" w:hAnsi="Arial" w:cs="Arial"/>
                <w:b/>
                <w:sz w:val="18"/>
                <w:szCs w:val="16"/>
              </w:rPr>
              <w:t>Frecuencia</w:t>
            </w:r>
          </w:p>
        </w:tc>
        <w:tc>
          <w:tcPr>
            <w:tcW w:w="2977" w:type="dxa"/>
            <w:vAlign w:val="center"/>
          </w:tcPr>
          <w:p w14:paraId="24A5A92E" w14:textId="77777777" w:rsidR="00A942A5" w:rsidRPr="00F244A5" w:rsidRDefault="00A942A5" w:rsidP="00140C63">
            <w:pPr>
              <w:jc w:val="center"/>
              <w:rPr>
                <w:rFonts w:ascii="Arial" w:hAnsi="Arial" w:cs="Arial"/>
                <w:sz w:val="18"/>
                <w:szCs w:val="20"/>
              </w:rPr>
            </w:pPr>
            <w:r w:rsidRPr="00F244A5">
              <w:rPr>
                <w:rFonts w:ascii="Arial" w:hAnsi="Arial" w:cs="Arial"/>
                <w:b/>
                <w:sz w:val="18"/>
                <w:szCs w:val="16"/>
              </w:rPr>
              <w:t>Responsable de información</w:t>
            </w:r>
          </w:p>
        </w:tc>
        <w:tc>
          <w:tcPr>
            <w:tcW w:w="1984" w:type="dxa"/>
            <w:vAlign w:val="center"/>
          </w:tcPr>
          <w:p w14:paraId="02581731" w14:textId="77777777" w:rsidR="00A942A5" w:rsidRPr="00F244A5" w:rsidRDefault="00A942A5" w:rsidP="00140C63">
            <w:pPr>
              <w:jc w:val="center"/>
              <w:rPr>
                <w:rFonts w:ascii="Arial" w:hAnsi="Arial" w:cs="Arial"/>
                <w:b/>
                <w:sz w:val="18"/>
                <w:szCs w:val="16"/>
              </w:rPr>
            </w:pPr>
            <w:r w:rsidRPr="00F244A5">
              <w:rPr>
                <w:rFonts w:ascii="Arial" w:hAnsi="Arial" w:cs="Arial"/>
                <w:b/>
                <w:sz w:val="18"/>
                <w:szCs w:val="16"/>
              </w:rPr>
              <w:t>Responsable del cálculo</w:t>
            </w:r>
          </w:p>
        </w:tc>
      </w:tr>
      <w:tr w:rsidR="00A942A5" w:rsidRPr="00F244A5" w14:paraId="31947AAF" w14:textId="77777777" w:rsidTr="00140C63">
        <w:trPr>
          <w:trHeight w:val="430"/>
        </w:trPr>
        <w:tc>
          <w:tcPr>
            <w:tcW w:w="1127" w:type="dxa"/>
            <w:vAlign w:val="center"/>
          </w:tcPr>
          <w:p w14:paraId="73184F9F" w14:textId="77777777" w:rsidR="00A942A5" w:rsidRPr="00F244A5" w:rsidRDefault="00A942A5" w:rsidP="00140C63">
            <w:pPr>
              <w:jc w:val="center"/>
              <w:rPr>
                <w:rFonts w:ascii="Arial" w:hAnsi="Arial" w:cs="Arial"/>
                <w:sz w:val="18"/>
                <w:szCs w:val="16"/>
              </w:rPr>
            </w:pPr>
            <w:r w:rsidRPr="00F244A5">
              <w:rPr>
                <w:rFonts w:ascii="Arial" w:hAnsi="Arial" w:cs="Arial"/>
                <w:sz w:val="18"/>
                <w:szCs w:val="16"/>
              </w:rPr>
              <w:t>Porcentaje</w:t>
            </w:r>
          </w:p>
        </w:tc>
        <w:tc>
          <w:tcPr>
            <w:tcW w:w="1132" w:type="dxa"/>
            <w:vAlign w:val="center"/>
          </w:tcPr>
          <w:p w14:paraId="06B37AE5" w14:textId="77777777" w:rsidR="00A942A5" w:rsidRPr="00F244A5" w:rsidRDefault="00A942A5" w:rsidP="00140C63">
            <w:pPr>
              <w:jc w:val="center"/>
              <w:rPr>
                <w:rFonts w:ascii="Arial" w:hAnsi="Arial" w:cs="Arial"/>
                <w:sz w:val="18"/>
                <w:szCs w:val="16"/>
              </w:rPr>
            </w:pPr>
            <w:r w:rsidRPr="00F244A5">
              <w:rPr>
                <w:rFonts w:ascii="Arial" w:hAnsi="Arial" w:cs="Arial"/>
                <w:sz w:val="18"/>
                <w:szCs w:val="16"/>
              </w:rPr>
              <w:t>Departamental</w:t>
            </w:r>
          </w:p>
        </w:tc>
        <w:tc>
          <w:tcPr>
            <w:tcW w:w="1422" w:type="dxa"/>
            <w:vAlign w:val="center"/>
          </w:tcPr>
          <w:p w14:paraId="2E7E5C5D" w14:textId="77777777" w:rsidR="00A942A5" w:rsidRPr="00F244A5" w:rsidRDefault="00A942A5" w:rsidP="00140C63">
            <w:pPr>
              <w:jc w:val="center"/>
              <w:rPr>
                <w:rFonts w:ascii="Arial" w:hAnsi="Arial" w:cs="Arial"/>
                <w:sz w:val="18"/>
                <w:szCs w:val="16"/>
              </w:rPr>
            </w:pPr>
            <w:r w:rsidRPr="00F244A5">
              <w:rPr>
                <w:rFonts w:ascii="Arial" w:hAnsi="Arial" w:cs="Arial"/>
                <w:sz w:val="18"/>
                <w:szCs w:val="16"/>
              </w:rPr>
              <w:t>Trimestral</w:t>
            </w:r>
          </w:p>
        </w:tc>
        <w:tc>
          <w:tcPr>
            <w:tcW w:w="2977" w:type="dxa"/>
            <w:vAlign w:val="center"/>
          </w:tcPr>
          <w:p w14:paraId="40AA25F7" w14:textId="77777777" w:rsidR="00A942A5" w:rsidRPr="00F244A5" w:rsidRDefault="00A942A5" w:rsidP="00140C63">
            <w:pPr>
              <w:jc w:val="center"/>
              <w:rPr>
                <w:rFonts w:ascii="Arial" w:hAnsi="Arial" w:cs="Arial"/>
                <w:sz w:val="18"/>
                <w:szCs w:val="20"/>
              </w:rPr>
            </w:pPr>
            <w:r w:rsidRPr="00F244A5">
              <w:rPr>
                <w:rFonts w:ascii="Arial" w:hAnsi="Arial" w:cs="Arial"/>
                <w:sz w:val="18"/>
                <w:szCs w:val="20"/>
              </w:rPr>
              <w:t>Dirección General de Programas y Proyectos en Vivienda y</w:t>
            </w:r>
          </w:p>
          <w:p w14:paraId="5A7F47D3" w14:textId="77777777" w:rsidR="00A942A5" w:rsidRPr="00F244A5" w:rsidRDefault="00A942A5" w:rsidP="00140C63">
            <w:pPr>
              <w:jc w:val="center"/>
              <w:rPr>
                <w:rFonts w:ascii="Arial" w:hAnsi="Arial" w:cs="Arial"/>
                <w:sz w:val="18"/>
                <w:szCs w:val="20"/>
              </w:rPr>
            </w:pPr>
            <w:r w:rsidRPr="00F244A5">
              <w:rPr>
                <w:rFonts w:ascii="Arial" w:hAnsi="Arial" w:cs="Arial"/>
                <w:sz w:val="18"/>
                <w:szCs w:val="20"/>
              </w:rPr>
              <w:t>Urbanismo (DGPPVU)</w:t>
            </w:r>
          </w:p>
          <w:p w14:paraId="5FF35459" w14:textId="77777777" w:rsidR="00A942A5" w:rsidRPr="00F244A5" w:rsidRDefault="00A942A5" w:rsidP="00140C63">
            <w:pPr>
              <w:jc w:val="center"/>
              <w:rPr>
                <w:rFonts w:ascii="Arial" w:hAnsi="Arial" w:cs="Arial"/>
                <w:sz w:val="18"/>
                <w:szCs w:val="20"/>
              </w:rPr>
            </w:pPr>
          </w:p>
          <w:p w14:paraId="14F7CD5A" w14:textId="77777777" w:rsidR="00A942A5" w:rsidRPr="00F244A5" w:rsidRDefault="00A942A5" w:rsidP="00140C63">
            <w:pPr>
              <w:jc w:val="center"/>
              <w:rPr>
                <w:rFonts w:ascii="Arial" w:hAnsi="Arial" w:cs="Arial"/>
                <w:sz w:val="18"/>
                <w:szCs w:val="20"/>
              </w:rPr>
            </w:pPr>
            <w:r w:rsidRPr="00F244A5">
              <w:rPr>
                <w:rFonts w:ascii="Arial" w:hAnsi="Arial" w:cs="Arial"/>
                <w:sz w:val="18"/>
                <w:szCs w:val="20"/>
              </w:rPr>
              <w:t xml:space="preserve">Fondo </w:t>
            </w:r>
            <w:proofErr w:type="spellStart"/>
            <w:r w:rsidRPr="00F244A5">
              <w:rPr>
                <w:rFonts w:ascii="Arial" w:hAnsi="Arial" w:cs="Arial"/>
                <w:sz w:val="18"/>
                <w:szCs w:val="20"/>
              </w:rPr>
              <w:t>MiVivienda</w:t>
            </w:r>
            <w:proofErr w:type="spellEnd"/>
          </w:p>
        </w:tc>
        <w:tc>
          <w:tcPr>
            <w:tcW w:w="1984" w:type="dxa"/>
            <w:vAlign w:val="center"/>
          </w:tcPr>
          <w:p w14:paraId="018DA235" w14:textId="77777777" w:rsidR="00A942A5" w:rsidRPr="00F244A5" w:rsidRDefault="00A942A5" w:rsidP="00140C63">
            <w:pPr>
              <w:jc w:val="center"/>
              <w:rPr>
                <w:rFonts w:ascii="Arial" w:hAnsi="Arial" w:cs="Arial"/>
                <w:sz w:val="18"/>
                <w:szCs w:val="20"/>
              </w:rPr>
            </w:pPr>
            <w:r w:rsidRPr="00F244A5">
              <w:rPr>
                <w:rFonts w:ascii="Arial" w:hAnsi="Arial" w:cs="Arial"/>
                <w:sz w:val="18"/>
                <w:szCs w:val="20"/>
              </w:rPr>
              <w:t>OGMEI</w:t>
            </w:r>
          </w:p>
        </w:tc>
      </w:tr>
      <w:tr w:rsidR="00A942A5" w:rsidRPr="00F244A5" w14:paraId="4FB8129E" w14:textId="77777777" w:rsidTr="00140C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trHeight w:val="241"/>
        </w:trPr>
        <w:tc>
          <w:tcPr>
            <w:tcW w:w="8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8D71E73" w14:textId="77777777" w:rsidR="00A942A5" w:rsidRPr="00F244A5" w:rsidRDefault="00A942A5" w:rsidP="00140C63">
            <w:pPr>
              <w:rPr>
                <w:rFonts w:ascii="Arial" w:hAnsi="Arial" w:cs="Arial"/>
                <w:b/>
                <w:sz w:val="18"/>
                <w:szCs w:val="18"/>
              </w:rPr>
            </w:pPr>
            <w:r w:rsidRPr="00F244A5">
              <w:rPr>
                <w:rFonts w:ascii="Arial" w:hAnsi="Arial" w:cs="Arial"/>
                <w:b/>
                <w:bCs/>
                <w:sz w:val="18"/>
                <w:szCs w:val="18"/>
              </w:rPr>
              <w:t>Definición</w:t>
            </w:r>
          </w:p>
        </w:tc>
      </w:tr>
      <w:tr w:rsidR="00A942A5" w:rsidRPr="00F244A5" w14:paraId="515FBE5D" w14:textId="77777777" w:rsidTr="00140C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trHeight w:val="534"/>
        </w:trPr>
        <w:tc>
          <w:tcPr>
            <w:tcW w:w="8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3AF265E" w14:textId="24EA031A" w:rsidR="00A942A5" w:rsidRPr="00F244A5" w:rsidRDefault="003A18C0" w:rsidP="00234171">
            <w:pPr>
              <w:jc w:val="both"/>
              <w:rPr>
                <w:rFonts w:ascii="Arial" w:hAnsi="Arial" w:cs="Arial"/>
                <w:sz w:val="18"/>
                <w:szCs w:val="18"/>
              </w:rPr>
            </w:pPr>
            <w:r>
              <w:rPr>
                <w:rFonts w:ascii="Arial" w:hAnsi="Arial" w:cs="Arial"/>
                <w:sz w:val="18"/>
                <w:szCs w:val="18"/>
              </w:rPr>
              <w:t xml:space="preserve">El indicador mide la contribución de la entrega del Bono Familiar Habitacional modalidades AVN y CSP en el cierre </w:t>
            </w:r>
            <w:r w:rsidR="00234171">
              <w:rPr>
                <w:rFonts w:ascii="Arial" w:hAnsi="Arial" w:cs="Arial"/>
                <w:sz w:val="18"/>
                <w:szCs w:val="18"/>
              </w:rPr>
              <w:t>de la brecha cuantitativa</w:t>
            </w:r>
            <w:r w:rsidR="008C013D">
              <w:rPr>
                <w:rFonts w:ascii="Arial" w:hAnsi="Arial" w:cs="Arial"/>
                <w:sz w:val="18"/>
                <w:szCs w:val="18"/>
              </w:rPr>
              <w:t xml:space="preserve"> </w:t>
            </w:r>
            <w:r w:rsidR="00234171">
              <w:rPr>
                <w:rFonts w:ascii="Arial" w:hAnsi="Arial" w:cs="Arial"/>
                <w:sz w:val="18"/>
                <w:szCs w:val="18"/>
              </w:rPr>
              <w:t>de vivienda</w:t>
            </w:r>
            <w:r w:rsidR="008A12B8">
              <w:rPr>
                <w:rFonts w:ascii="Arial" w:hAnsi="Arial" w:cs="Arial"/>
                <w:sz w:val="18"/>
                <w:szCs w:val="18"/>
              </w:rPr>
              <w:t>.</w:t>
            </w:r>
          </w:p>
        </w:tc>
      </w:tr>
      <w:tr w:rsidR="00A942A5" w:rsidRPr="00F244A5" w14:paraId="416792F9" w14:textId="77777777" w:rsidTr="00140C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trHeight w:val="241"/>
        </w:trPr>
        <w:tc>
          <w:tcPr>
            <w:tcW w:w="8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116C3EF" w14:textId="77777777" w:rsidR="00A942A5" w:rsidRPr="00F244A5" w:rsidRDefault="00A942A5" w:rsidP="00140C63">
            <w:pPr>
              <w:rPr>
                <w:rFonts w:ascii="Arial" w:hAnsi="Arial" w:cs="Arial"/>
                <w:b/>
                <w:sz w:val="18"/>
                <w:szCs w:val="18"/>
              </w:rPr>
            </w:pPr>
            <w:r w:rsidRPr="00F244A5">
              <w:rPr>
                <w:rFonts w:ascii="Arial" w:hAnsi="Arial" w:cs="Arial"/>
                <w:b/>
                <w:bCs/>
                <w:sz w:val="18"/>
                <w:szCs w:val="18"/>
              </w:rPr>
              <w:t>Justificación</w:t>
            </w:r>
          </w:p>
        </w:tc>
      </w:tr>
      <w:tr w:rsidR="00A942A5" w:rsidRPr="00F244A5" w14:paraId="2C336A18" w14:textId="77777777" w:rsidTr="00140C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trHeight w:val="241"/>
        </w:trPr>
        <w:tc>
          <w:tcPr>
            <w:tcW w:w="8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D7E2A8E" w14:textId="4085D550" w:rsidR="00A942A5" w:rsidRPr="00F244A5" w:rsidRDefault="00A942A5" w:rsidP="00234171">
            <w:pPr>
              <w:jc w:val="both"/>
              <w:rPr>
                <w:rFonts w:ascii="Arial" w:hAnsi="Arial" w:cs="Arial"/>
                <w:sz w:val="18"/>
                <w:szCs w:val="18"/>
              </w:rPr>
            </w:pPr>
            <w:r w:rsidRPr="00F244A5">
              <w:rPr>
                <w:rFonts w:ascii="Arial" w:hAnsi="Arial" w:cs="Arial"/>
                <w:sz w:val="18"/>
                <w:szCs w:val="18"/>
              </w:rPr>
              <w:t>El MVCS busca atender a la población de menores recursos para facilitar su acceso a una vivienda adecuada y segura en el ámbito urbano. En ese sentido, el cálculo d</w:t>
            </w:r>
            <w:r w:rsidR="003A18C0">
              <w:rPr>
                <w:rFonts w:ascii="Arial" w:hAnsi="Arial" w:cs="Arial"/>
                <w:sz w:val="18"/>
                <w:szCs w:val="18"/>
              </w:rPr>
              <w:t xml:space="preserve">el indicador permitirá medir el porcentaje </w:t>
            </w:r>
            <w:r w:rsidRPr="00F244A5">
              <w:rPr>
                <w:rFonts w:ascii="Arial" w:hAnsi="Arial" w:cs="Arial"/>
                <w:sz w:val="18"/>
                <w:szCs w:val="18"/>
              </w:rPr>
              <w:t xml:space="preserve">de hogares urbanos que acceden a viviendas </w:t>
            </w:r>
            <w:r w:rsidR="003A18C0">
              <w:rPr>
                <w:rFonts w:ascii="Arial" w:hAnsi="Arial" w:cs="Arial"/>
                <w:sz w:val="18"/>
                <w:szCs w:val="18"/>
              </w:rPr>
              <w:t xml:space="preserve">a través del acceso a </w:t>
            </w:r>
            <w:r w:rsidR="008A12B8">
              <w:rPr>
                <w:rFonts w:ascii="Arial" w:hAnsi="Arial" w:cs="Arial"/>
                <w:sz w:val="18"/>
                <w:szCs w:val="18"/>
              </w:rPr>
              <w:t>los bonos modalidad AVN y CSP</w:t>
            </w:r>
            <w:r w:rsidR="00234171">
              <w:rPr>
                <w:rFonts w:ascii="Arial" w:hAnsi="Arial" w:cs="Arial"/>
                <w:sz w:val="18"/>
                <w:szCs w:val="18"/>
              </w:rPr>
              <w:t>,</w:t>
            </w:r>
            <w:r w:rsidR="008A12B8">
              <w:rPr>
                <w:rFonts w:ascii="Arial" w:hAnsi="Arial" w:cs="Arial"/>
                <w:sz w:val="18"/>
                <w:szCs w:val="18"/>
              </w:rPr>
              <w:t xml:space="preserve"> </w:t>
            </w:r>
            <w:r w:rsidR="003A18C0">
              <w:rPr>
                <w:rFonts w:ascii="Arial" w:hAnsi="Arial" w:cs="Arial"/>
                <w:sz w:val="18"/>
                <w:szCs w:val="18"/>
              </w:rPr>
              <w:t>respecto el</w:t>
            </w:r>
            <w:r w:rsidR="008A12B8">
              <w:rPr>
                <w:rFonts w:ascii="Arial" w:hAnsi="Arial" w:cs="Arial"/>
                <w:sz w:val="18"/>
                <w:szCs w:val="18"/>
              </w:rPr>
              <w:t xml:space="preserve"> total de hogares que no cuentan con una vivienda adecuada (brecha cuantitativa </w:t>
            </w:r>
            <w:r w:rsidR="00234171">
              <w:rPr>
                <w:rFonts w:ascii="Arial" w:hAnsi="Arial" w:cs="Arial"/>
                <w:sz w:val="18"/>
                <w:szCs w:val="18"/>
              </w:rPr>
              <w:t>de vivienda)</w:t>
            </w:r>
          </w:p>
        </w:tc>
      </w:tr>
      <w:tr w:rsidR="00A942A5" w:rsidRPr="00F244A5" w14:paraId="2062E6BA" w14:textId="77777777" w:rsidTr="00140C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trHeight w:val="241"/>
        </w:trPr>
        <w:tc>
          <w:tcPr>
            <w:tcW w:w="8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B79F2C2" w14:textId="77777777" w:rsidR="00A942A5" w:rsidRPr="00F244A5" w:rsidRDefault="00A942A5" w:rsidP="00140C63">
            <w:pPr>
              <w:rPr>
                <w:rFonts w:ascii="Arial" w:hAnsi="Arial" w:cs="Arial"/>
                <w:b/>
                <w:sz w:val="18"/>
                <w:szCs w:val="18"/>
              </w:rPr>
            </w:pPr>
            <w:r w:rsidRPr="00F244A5">
              <w:rPr>
                <w:rFonts w:ascii="Arial" w:hAnsi="Arial" w:cs="Arial"/>
                <w:b/>
                <w:sz w:val="18"/>
                <w:szCs w:val="18"/>
              </w:rPr>
              <w:t>Método de Cálculo</w:t>
            </w:r>
          </w:p>
        </w:tc>
      </w:tr>
      <w:tr w:rsidR="00A942A5" w:rsidRPr="00F244A5" w14:paraId="6FE2A19C" w14:textId="77777777" w:rsidTr="00140C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trHeight w:val="165"/>
        </w:trPr>
        <w:tc>
          <w:tcPr>
            <w:tcW w:w="8642" w:type="dxa"/>
            <w:gridSpan w:val="5"/>
            <w:tcBorders>
              <w:top w:val="single" w:sz="4" w:space="0" w:color="auto"/>
              <w:left w:val="single" w:sz="4" w:space="0" w:color="auto"/>
              <w:bottom w:val="single" w:sz="4" w:space="0" w:color="auto"/>
              <w:right w:val="single" w:sz="4" w:space="0" w:color="auto"/>
            </w:tcBorders>
            <w:vAlign w:val="center"/>
          </w:tcPr>
          <w:p w14:paraId="0D3A36C7" w14:textId="77777777" w:rsidR="00A942A5" w:rsidRPr="00F244A5" w:rsidRDefault="00A942A5" w:rsidP="00140C63">
            <w:pPr>
              <w:rPr>
                <w:rFonts w:ascii="Arial" w:hAnsi="Arial" w:cs="Arial"/>
                <w:sz w:val="18"/>
                <w:szCs w:val="20"/>
              </w:rPr>
            </w:pPr>
          </w:p>
          <w:p w14:paraId="0D543588" w14:textId="693E2D4A" w:rsidR="00A942A5" w:rsidRPr="00F244A5" w:rsidRDefault="00A942A5" w:rsidP="00140C63">
            <w:pPr>
              <w:rPr>
                <w:rFonts w:ascii="Arial" w:hAnsi="Arial" w:cs="Arial"/>
                <w:sz w:val="16"/>
                <w:szCs w:val="20"/>
              </w:rPr>
            </w:pPr>
            <w:r w:rsidRPr="00F244A5">
              <w:rPr>
                <w:rFonts w:ascii="Arial" w:hAnsi="Arial" w:cs="Arial"/>
                <w:sz w:val="18"/>
                <w:szCs w:val="20"/>
              </w:rPr>
              <w:t xml:space="preserve">Fórmula </w:t>
            </w:r>
            <m:oMath>
              <m:r>
                <w:rPr>
                  <w:rFonts w:ascii="Cambria Math" w:eastAsiaTheme="minorEastAsia" w:hAnsi="Cambria Math" w:cs="Arial"/>
                  <w:sz w:val="32"/>
                  <w:szCs w:val="24"/>
                </w:rPr>
                <m:t>=</m:t>
              </m:r>
              <m:f>
                <m:fPr>
                  <m:ctrlPr>
                    <w:rPr>
                      <w:rFonts w:ascii="Cambria Math" w:eastAsiaTheme="minorEastAsia" w:hAnsi="Cambria Math" w:cs="Arial"/>
                      <w:i/>
                      <w:sz w:val="32"/>
                      <w:szCs w:val="24"/>
                    </w:rPr>
                  </m:ctrlPr>
                </m:fPr>
                <m:num>
                  <m:nary>
                    <m:naryPr>
                      <m:chr m:val="∑"/>
                      <m:limLoc m:val="undOvr"/>
                      <m:subHide m:val="1"/>
                      <m:supHide m:val="1"/>
                      <m:ctrlPr>
                        <w:rPr>
                          <w:rFonts w:ascii="Cambria Math" w:eastAsiaTheme="minorEastAsia" w:hAnsi="Cambria Math" w:cs="Arial"/>
                          <w:i/>
                          <w:sz w:val="32"/>
                          <w:szCs w:val="24"/>
                        </w:rPr>
                      </m:ctrlPr>
                    </m:naryPr>
                    <m:sub/>
                    <m:sup/>
                    <m:e>
                      <m:r>
                        <w:rPr>
                          <w:rFonts w:ascii="Cambria Math" w:eastAsiaTheme="minorEastAsia" w:hAnsi="Cambria Math" w:cs="Arial"/>
                          <w:sz w:val="32"/>
                          <w:szCs w:val="24"/>
                        </w:rPr>
                        <m:t>X</m:t>
                      </m:r>
                    </m:e>
                  </m:nary>
                </m:num>
                <m:den>
                  <m:r>
                    <w:rPr>
                      <w:rFonts w:ascii="Cambria Math" w:eastAsiaTheme="minorEastAsia" w:hAnsi="Cambria Math" w:cs="Arial"/>
                      <w:sz w:val="32"/>
                      <w:szCs w:val="24"/>
                    </w:rPr>
                    <m:t>N</m:t>
                  </m:r>
                </m:den>
              </m:f>
            </m:oMath>
            <w:r w:rsidRPr="00F244A5">
              <w:rPr>
                <w:rFonts w:ascii="Arial" w:eastAsiaTheme="minorEastAsia" w:hAnsi="Arial" w:cs="Arial"/>
                <w:sz w:val="24"/>
                <w:szCs w:val="24"/>
              </w:rPr>
              <w:t>x100</w:t>
            </w:r>
          </w:p>
          <w:p w14:paraId="72964F96" w14:textId="77777777" w:rsidR="00A942A5" w:rsidRPr="00F244A5" w:rsidRDefault="00A942A5" w:rsidP="00140C63">
            <w:pPr>
              <w:rPr>
                <w:rFonts w:ascii="Arial" w:hAnsi="Arial" w:cs="Arial"/>
                <w:sz w:val="18"/>
                <w:szCs w:val="20"/>
              </w:rPr>
            </w:pPr>
          </w:p>
          <w:p w14:paraId="0B781BA4" w14:textId="77777777" w:rsidR="00A942A5" w:rsidRPr="00F244A5" w:rsidRDefault="00A942A5" w:rsidP="00140C63">
            <w:pPr>
              <w:rPr>
                <w:rFonts w:ascii="Arial" w:hAnsi="Arial" w:cs="Arial"/>
                <w:sz w:val="18"/>
                <w:szCs w:val="18"/>
              </w:rPr>
            </w:pPr>
            <w:r w:rsidRPr="00F244A5">
              <w:rPr>
                <w:rFonts w:ascii="Arial" w:hAnsi="Arial" w:cs="Arial"/>
                <w:sz w:val="18"/>
                <w:szCs w:val="18"/>
              </w:rPr>
              <w:t>Donde:</w:t>
            </w:r>
          </w:p>
          <w:p w14:paraId="19C916A8" w14:textId="695521DF" w:rsidR="00A942A5" w:rsidRPr="00F244A5" w:rsidRDefault="00A942A5" w:rsidP="00140C63">
            <w:pPr>
              <w:ind w:left="306" w:hanging="284"/>
              <w:rPr>
                <w:rFonts w:ascii="Arial" w:hAnsi="Arial" w:cs="Arial"/>
                <w:sz w:val="18"/>
                <w:szCs w:val="18"/>
              </w:rPr>
            </w:pPr>
            <w:r w:rsidRPr="00F244A5">
              <w:rPr>
                <w:rFonts w:ascii="Arial" w:hAnsi="Arial" w:cs="Arial"/>
                <w:sz w:val="18"/>
                <w:szCs w:val="18"/>
              </w:rPr>
              <w:t>X = Número de</w:t>
            </w:r>
            <w:r w:rsidR="00234171">
              <w:rPr>
                <w:rFonts w:ascii="Arial" w:hAnsi="Arial" w:cs="Arial"/>
                <w:sz w:val="18"/>
                <w:szCs w:val="18"/>
              </w:rPr>
              <w:t xml:space="preserve"> hogares con</w:t>
            </w:r>
            <w:r w:rsidRPr="00F244A5">
              <w:rPr>
                <w:rFonts w:ascii="Arial" w:hAnsi="Arial" w:cs="Arial"/>
                <w:sz w:val="18"/>
                <w:szCs w:val="18"/>
              </w:rPr>
              <w:t xml:space="preserve"> viviendas adquiridas y construidas a través de los bonos.</w:t>
            </w:r>
          </w:p>
          <w:p w14:paraId="5276E7B9" w14:textId="1644AF81" w:rsidR="00A942A5" w:rsidRPr="00F244A5" w:rsidRDefault="008C013D" w:rsidP="00140C63">
            <w:pPr>
              <w:rPr>
                <w:rFonts w:ascii="Arial" w:hAnsi="Arial" w:cs="Arial"/>
                <w:sz w:val="18"/>
                <w:szCs w:val="18"/>
              </w:rPr>
            </w:pPr>
            <w:r>
              <w:rPr>
                <w:rFonts w:ascii="Arial" w:hAnsi="Arial" w:cs="Arial"/>
                <w:sz w:val="18"/>
                <w:szCs w:val="18"/>
              </w:rPr>
              <w:t xml:space="preserve">N </w:t>
            </w:r>
            <w:r w:rsidR="00A942A5" w:rsidRPr="00F244A5">
              <w:rPr>
                <w:rFonts w:ascii="Arial" w:hAnsi="Arial" w:cs="Arial"/>
                <w:sz w:val="18"/>
                <w:szCs w:val="18"/>
              </w:rPr>
              <w:t>= brecha cuantitativa</w:t>
            </w:r>
            <w:r w:rsidR="00692944">
              <w:rPr>
                <w:rFonts w:ascii="Arial" w:hAnsi="Arial" w:cs="Arial"/>
                <w:sz w:val="18"/>
                <w:szCs w:val="18"/>
              </w:rPr>
              <w:t xml:space="preserve"> </w:t>
            </w:r>
            <w:r w:rsidR="00234171">
              <w:rPr>
                <w:rFonts w:ascii="Arial" w:hAnsi="Arial" w:cs="Arial"/>
                <w:sz w:val="18"/>
                <w:szCs w:val="18"/>
              </w:rPr>
              <w:t>de vivienda</w:t>
            </w:r>
            <w:r w:rsidR="00A942A5" w:rsidRPr="00F244A5">
              <w:rPr>
                <w:rFonts w:ascii="Arial" w:hAnsi="Arial" w:cs="Arial"/>
                <w:sz w:val="18"/>
                <w:szCs w:val="18"/>
              </w:rPr>
              <w:t>.</w:t>
            </w:r>
          </w:p>
          <w:p w14:paraId="36A482FE" w14:textId="77777777" w:rsidR="00A942A5" w:rsidRPr="00F244A5" w:rsidRDefault="00A942A5" w:rsidP="00140C63">
            <w:pPr>
              <w:rPr>
                <w:rFonts w:ascii="Arial" w:hAnsi="Arial" w:cs="Arial"/>
                <w:sz w:val="18"/>
                <w:szCs w:val="18"/>
              </w:rPr>
            </w:pPr>
          </w:p>
          <w:p w14:paraId="60421B7E" w14:textId="77777777" w:rsidR="00A942A5" w:rsidRPr="00F244A5" w:rsidRDefault="00A942A5" w:rsidP="00140C63">
            <w:pPr>
              <w:rPr>
                <w:rFonts w:ascii="Arial" w:hAnsi="Arial" w:cs="Arial"/>
                <w:b/>
                <w:sz w:val="18"/>
                <w:szCs w:val="18"/>
              </w:rPr>
            </w:pPr>
            <w:r w:rsidRPr="00F244A5">
              <w:rPr>
                <w:rFonts w:ascii="Arial" w:hAnsi="Arial" w:cs="Arial"/>
                <w:b/>
                <w:sz w:val="18"/>
                <w:szCs w:val="18"/>
              </w:rPr>
              <w:t>Precisiones:</w:t>
            </w:r>
          </w:p>
          <w:p w14:paraId="6325AD14" w14:textId="77777777" w:rsidR="00A942A5" w:rsidRPr="00F244A5" w:rsidRDefault="00A942A5" w:rsidP="00140C63">
            <w:pPr>
              <w:pStyle w:val="Prrafodelista"/>
              <w:numPr>
                <w:ilvl w:val="0"/>
                <w:numId w:val="1"/>
              </w:numPr>
              <w:ind w:left="314" w:hanging="284"/>
              <w:rPr>
                <w:rFonts w:ascii="Arial" w:hAnsi="Arial" w:cs="Arial"/>
                <w:sz w:val="18"/>
                <w:szCs w:val="18"/>
              </w:rPr>
            </w:pPr>
            <w:r w:rsidRPr="00F244A5">
              <w:rPr>
                <w:rFonts w:ascii="Arial" w:hAnsi="Arial" w:cs="Arial"/>
                <w:sz w:val="18"/>
                <w:szCs w:val="18"/>
              </w:rPr>
              <w:t xml:space="preserve">Bonos habitacionales. Ayuda económica directa del Estado que, con criterio de utilidad pública, se entrega por única vez a familias beneficiarias para ser destinado exclusivamente a la adquisición o construcción en sitio propio de una vivienda, como un incentivo y complemento de su ahorro y de su esfuerzo constructor. </w:t>
            </w:r>
          </w:p>
          <w:p w14:paraId="376DBF38" w14:textId="77777777" w:rsidR="00A942A5" w:rsidRPr="00F244A5" w:rsidRDefault="00A942A5" w:rsidP="00140C63">
            <w:pPr>
              <w:pStyle w:val="Prrafodelista"/>
              <w:numPr>
                <w:ilvl w:val="0"/>
                <w:numId w:val="1"/>
              </w:numPr>
              <w:ind w:left="314" w:hanging="284"/>
              <w:rPr>
                <w:rFonts w:ascii="Arial" w:hAnsi="Arial" w:cs="Arial"/>
                <w:sz w:val="18"/>
                <w:szCs w:val="18"/>
              </w:rPr>
            </w:pPr>
            <w:r w:rsidRPr="00F244A5">
              <w:rPr>
                <w:rFonts w:ascii="Arial" w:hAnsi="Arial" w:cs="Arial"/>
                <w:sz w:val="18"/>
                <w:szCs w:val="18"/>
              </w:rPr>
              <w:t>Adquisición de Vivienda Nueva (AVN). Es un tipo de bono dirigido a hogares que no cuentan con vivienda ni terreno, para que adquieran una vivienda de interés social.</w:t>
            </w:r>
          </w:p>
          <w:p w14:paraId="084D90DA" w14:textId="77777777" w:rsidR="00A942A5" w:rsidRPr="00F244A5" w:rsidRDefault="00A942A5" w:rsidP="00140C63">
            <w:pPr>
              <w:pStyle w:val="Prrafodelista"/>
              <w:numPr>
                <w:ilvl w:val="0"/>
                <w:numId w:val="1"/>
              </w:numPr>
              <w:ind w:left="314" w:hanging="284"/>
              <w:rPr>
                <w:rFonts w:ascii="Arial" w:hAnsi="Arial" w:cs="Arial"/>
                <w:sz w:val="18"/>
                <w:szCs w:val="18"/>
              </w:rPr>
            </w:pPr>
            <w:r w:rsidRPr="00F244A5">
              <w:rPr>
                <w:rFonts w:ascii="Arial" w:hAnsi="Arial" w:cs="Arial"/>
                <w:sz w:val="18"/>
                <w:szCs w:val="18"/>
              </w:rPr>
              <w:t>Construcción en Sitio Propio (CSP). Es un tipo de bono dirigido a hogares que tienen un terreno propio o aires independizados inscritos en registro públicos, para que construyan una vivienda.</w:t>
            </w:r>
          </w:p>
          <w:p w14:paraId="22BAB5F1" w14:textId="28680B8A" w:rsidR="00A942A5" w:rsidRPr="00F244A5" w:rsidRDefault="00A942A5" w:rsidP="00234171">
            <w:pPr>
              <w:pStyle w:val="Prrafodelista"/>
              <w:numPr>
                <w:ilvl w:val="0"/>
                <w:numId w:val="1"/>
              </w:numPr>
              <w:ind w:left="314" w:hanging="284"/>
              <w:jc w:val="both"/>
              <w:rPr>
                <w:rFonts w:ascii="Arial" w:hAnsi="Arial" w:cs="Arial"/>
                <w:sz w:val="18"/>
                <w:szCs w:val="18"/>
              </w:rPr>
            </w:pPr>
            <w:r w:rsidRPr="00F244A5">
              <w:rPr>
                <w:rFonts w:ascii="Arial" w:hAnsi="Arial" w:cs="Arial"/>
                <w:sz w:val="18"/>
                <w:szCs w:val="18"/>
              </w:rPr>
              <w:t xml:space="preserve">Brecha cuantitativa </w:t>
            </w:r>
            <w:r w:rsidR="00234171">
              <w:rPr>
                <w:rFonts w:ascii="Arial" w:hAnsi="Arial" w:cs="Arial"/>
                <w:sz w:val="18"/>
                <w:szCs w:val="18"/>
              </w:rPr>
              <w:t>de vivienda o habitacional</w:t>
            </w:r>
            <w:r w:rsidRPr="00F244A5">
              <w:rPr>
                <w:rFonts w:ascii="Arial" w:hAnsi="Arial" w:cs="Arial"/>
                <w:sz w:val="18"/>
                <w:szCs w:val="18"/>
              </w:rPr>
              <w:t>. Considera la carencia de viviendas aptas para cubrir las necesidades habitacionales de los hogares que no poseen viviendas, de tal manera que cada vivienda pueda albergar en su interior a un solo hogar.</w:t>
            </w:r>
          </w:p>
        </w:tc>
      </w:tr>
      <w:tr w:rsidR="00A942A5" w:rsidRPr="00F244A5" w14:paraId="23F768C8" w14:textId="77777777" w:rsidTr="00140C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trHeight w:val="173"/>
        </w:trPr>
        <w:tc>
          <w:tcPr>
            <w:tcW w:w="8642" w:type="dxa"/>
            <w:gridSpan w:val="5"/>
            <w:tcBorders>
              <w:top w:val="single" w:sz="4" w:space="0" w:color="auto"/>
              <w:left w:val="single" w:sz="4" w:space="0" w:color="auto"/>
              <w:bottom w:val="single" w:sz="4" w:space="0" w:color="auto"/>
              <w:right w:val="single" w:sz="4" w:space="0" w:color="auto"/>
            </w:tcBorders>
            <w:vAlign w:val="center"/>
          </w:tcPr>
          <w:p w14:paraId="645ECD50" w14:textId="77777777" w:rsidR="00A942A5" w:rsidRPr="00F244A5" w:rsidRDefault="00A942A5" w:rsidP="00140C63">
            <w:pPr>
              <w:rPr>
                <w:rFonts w:ascii="Arial" w:hAnsi="Arial" w:cs="Arial"/>
                <w:sz w:val="18"/>
                <w:szCs w:val="18"/>
              </w:rPr>
            </w:pPr>
            <w:r w:rsidRPr="00F244A5">
              <w:rPr>
                <w:rFonts w:ascii="Arial" w:hAnsi="Arial" w:cs="Arial"/>
                <w:b/>
                <w:bCs/>
                <w:sz w:val="18"/>
                <w:szCs w:val="18"/>
              </w:rPr>
              <w:t>Limitaciones del indicador</w:t>
            </w:r>
          </w:p>
        </w:tc>
      </w:tr>
      <w:tr w:rsidR="00A942A5" w:rsidRPr="00F244A5" w14:paraId="4CAA27F2" w14:textId="77777777" w:rsidTr="00140C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trHeight w:val="173"/>
        </w:trPr>
        <w:tc>
          <w:tcPr>
            <w:tcW w:w="8642" w:type="dxa"/>
            <w:gridSpan w:val="5"/>
            <w:tcBorders>
              <w:top w:val="single" w:sz="4" w:space="0" w:color="auto"/>
              <w:left w:val="single" w:sz="4" w:space="0" w:color="auto"/>
              <w:bottom w:val="single" w:sz="4" w:space="0" w:color="auto"/>
              <w:right w:val="single" w:sz="4" w:space="0" w:color="auto"/>
            </w:tcBorders>
            <w:vAlign w:val="center"/>
          </w:tcPr>
          <w:p w14:paraId="657B77A7" w14:textId="70A35AF0" w:rsidR="00A942A5" w:rsidRPr="003A18C0" w:rsidRDefault="003A18C0" w:rsidP="003A18C0">
            <w:pPr>
              <w:pStyle w:val="Prrafodelista"/>
              <w:numPr>
                <w:ilvl w:val="0"/>
                <w:numId w:val="1"/>
              </w:numPr>
              <w:ind w:left="454"/>
              <w:rPr>
                <w:rFonts w:ascii="Arial" w:hAnsi="Arial" w:cs="Arial"/>
                <w:sz w:val="18"/>
                <w:szCs w:val="18"/>
              </w:rPr>
            </w:pPr>
            <w:r w:rsidRPr="00270478">
              <w:rPr>
                <w:rFonts w:ascii="Arial" w:hAnsi="Arial" w:cs="Arial"/>
                <w:sz w:val="18"/>
                <w:szCs w:val="18"/>
              </w:rPr>
              <w:t xml:space="preserve">La brecha de </w:t>
            </w:r>
            <w:r>
              <w:rPr>
                <w:rFonts w:ascii="Arial" w:hAnsi="Arial" w:cs="Arial"/>
                <w:sz w:val="18"/>
                <w:szCs w:val="18"/>
              </w:rPr>
              <w:t>hogares urbanos con</w:t>
            </w:r>
            <w:r w:rsidRPr="00270478">
              <w:rPr>
                <w:rFonts w:ascii="Arial" w:hAnsi="Arial" w:cs="Arial"/>
                <w:sz w:val="18"/>
                <w:szCs w:val="18"/>
              </w:rPr>
              <w:t xml:space="preserve"> </w:t>
            </w:r>
            <w:r w:rsidRPr="00F244A5">
              <w:rPr>
                <w:rFonts w:ascii="Arial" w:hAnsi="Arial" w:cs="Arial"/>
                <w:sz w:val="18"/>
                <w:szCs w:val="18"/>
              </w:rPr>
              <w:t xml:space="preserve">déficit cuantitativo de viviendas </w:t>
            </w:r>
            <w:r w:rsidRPr="00270478">
              <w:rPr>
                <w:rFonts w:ascii="Arial" w:hAnsi="Arial" w:cs="Arial"/>
                <w:sz w:val="18"/>
                <w:szCs w:val="18"/>
              </w:rPr>
              <w:t>se reporta con un año de rezago y su publicación depende de la publicación de datos del INEI.</w:t>
            </w:r>
          </w:p>
        </w:tc>
      </w:tr>
      <w:tr w:rsidR="00A942A5" w:rsidRPr="00F244A5" w14:paraId="2F59C9CC" w14:textId="77777777" w:rsidTr="00140C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trHeight w:val="173"/>
        </w:trPr>
        <w:tc>
          <w:tcPr>
            <w:tcW w:w="8642" w:type="dxa"/>
            <w:gridSpan w:val="5"/>
            <w:tcBorders>
              <w:top w:val="single" w:sz="4" w:space="0" w:color="auto"/>
              <w:left w:val="single" w:sz="4" w:space="0" w:color="auto"/>
              <w:bottom w:val="single" w:sz="4" w:space="0" w:color="auto"/>
              <w:right w:val="single" w:sz="4" w:space="0" w:color="auto"/>
            </w:tcBorders>
            <w:vAlign w:val="center"/>
          </w:tcPr>
          <w:p w14:paraId="36CB466E" w14:textId="77777777" w:rsidR="00A942A5" w:rsidRPr="00F244A5" w:rsidRDefault="00A942A5" w:rsidP="00140C63">
            <w:pPr>
              <w:rPr>
                <w:rFonts w:ascii="Arial" w:hAnsi="Arial" w:cs="Arial"/>
                <w:sz w:val="18"/>
                <w:szCs w:val="18"/>
              </w:rPr>
            </w:pPr>
            <w:r w:rsidRPr="00F244A5">
              <w:rPr>
                <w:rFonts w:ascii="Arial" w:hAnsi="Arial" w:cs="Arial"/>
                <w:b/>
                <w:bCs/>
                <w:sz w:val="18"/>
                <w:szCs w:val="18"/>
              </w:rPr>
              <w:t xml:space="preserve">Supuestos </w:t>
            </w:r>
          </w:p>
        </w:tc>
      </w:tr>
      <w:tr w:rsidR="00A942A5" w:rsidRPr="00F244A5" w14:paraId="69B646D3" w14:textId="77777777" w:rsidTr="00140C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trHeight w:val="464"/>
        </w:trPr>
        <w:tc>
          <w:tcPr>
            <w:tcW w:w="8642" w:type="dxa"/>
            <w:gridSpan w:val="5"/>
            <w:tcBorders>
              <w:top w:val="single" w:sz="4" w:space="0" w:color="auto"/>
              <w:left w:val="single" w:sz="4" w:space="0" w:color="auto"/>
              <w:bottom w:val="single" w:sz="4" w:space="0" w:color="auto"/>
              <w:right w:val="single" w:sz="4" w:space="0" w:color="auto"/>
            </w:tcBorders>
            <w:vAlign w:val="center"/>
          </w:tcPr>
          <w:p w14:paraId="229F56CD" w14:textId="77777777" w:rsidR="00A942A5" w:rsidRPr="00F244A5" w:rsidRDefault="00A942A5" w:rsidP="00140C63">
            <w:pPr>
              <w:pStyle w:val="Prrafodelista"/>
              <w:numPr>
                <w:ilvl w:val="0"/>
                <w:numId w:val="2"/>
              </w:numPr>
              <w:ind w:left="447"/>
              <w:rPr>
                <w:rFonts w:ascii="Arial" w:hAnsi="Arial" w:cs="Arial"/>
                <w:sz w:val="18"/>
                <w:szCs w:val="18"/>
              </w:rPr>
            </w:pPr>
            <w:r w:rsidRPr="00F244A5">
              <w:rPr>
                <w:rFonts w:ascii="Arial" w:hAnsi="Arial" w:cs="Arial"/>
                <w:sz w:val="18"/>
                <w:szCs w:val="18"/>
              </w:rPr>
              <w:t>Fondo Mi Vivienda mantiene actualizada la base de datos de las viviendas adquiridas y construidas.</w:t>
            </w:r>
          </w:p>
          <w:p w14:paraId="55D1B915" w14:textId="77777777" w:rsidR="00A942A5" w:rsidRPr="00F244A5" w:rsidRDefault="00A942A5" w:rsidP="00140C63">
            <w:pPr>
              <w:pStyle w:val="Prrafodelista"/>
              <w:numPr>
                <w:ilvl w:val="0"/>
                <w:numId w:val="2"/>
              </w:numPr>
              <w:ind w:left="447"/>
              <w:rPr>
                <w:rFonts w:ascii="Arial" w:hAnsi="Arial" w:cs="Arial"/>
                <w:sz w:val="18"/>
                <w:szCs w:val="18"/>
              </w:rPr>
            </w:pPr>
            <w:r w:rsidRPr="00F244A5">
              <w:rPr>
                <w:rFonts w:ascii="Arial" w:hAnsi="Arial" w:cs="Arial"/>
                <w:sz w:val="18"/>
                <w:szCs w:val="18"/>
              </w:rPr>
              <w:t>Las viviendas otorgadas por los bonos AVN y CSP están en uso por parte de los hogares beneficiarios.</w:t>
            </w:r>
          </w:p>
        </w:tc>
      </w:tr>
      <w:tr w:rsidR="00A942A5" w:rsidRPr="00F244A5" w14:paraId="618BAE4E" w14:textId="77777777" w:rsidTr="00140C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trHeight w:val="173"/>
        </w:trPr>
        <w:tc>
          <w:tcPr>
            <w:tcW w:w="8642" w:type="dxa"/>
            <w:gridSpan w:val="5"/>
            <w:tcBorders>
              <w:top w:val="single" w:sz="4" w:space="0" w:color="auto"/>
              <w:left w:val="single" w:sz="4" w:space="0" w:color="auto"/>
              <w:bottom w:val="single" w:sz="4" w:space="0" w:color="auto"/>
              <w:right w:val="single" w:sz="4" w:space="0" w:color="auto"/>
            </w:tcBorders>
            <w:vAlign w:val="center"/>
          </w:tcPr>
          <w:p w14:paraId="10C7F195" w14:textId="77777777" w:rsidR="00A942A5" w:rsidRPr="00F244A5" w:rsidRDefault="00A942A5" w:rsidP="00140C63">
            <w:pPr>
              <w:rPr>
                <w:rFonts w:ascii="Arial" w:hAnsi="Arial" w:cs="Arial"/>
                <w:sz w:val="18"/>
                <w:szCs w:val="18"/>
              </w:rPr>
            </w:pPr>
            <w:r w:rsidRPr="00F244A5">
              <w:rPr>
                <w:rFonts w:ascii="Arial" w:hAnsi="Arial" w:cs="Arial"/>
                <w:b/>
                <w:bCs/>
                <w:sz w:val="18"/>
                <w:szCs w:val="18"/>
              </w:rPr>
              <w:t>Fuente y base de datos</w:t>
            </w:r>
          </w:p>
        </w:tc>
      </w:tr>
      <w:tr w:rsidR="00A942A5" w:rsidRPr="00F244A5" w14:paraId="36738DCF" w14:textId="77777777" w:rsidTr="00140C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trHeight w:val="448"/>
        </w:trPr>
        <w:tc>
          <w:tcPr>
            <w:tcW w:w="8642" w:type="dxa"/>
            <w:gridSpan w:val="5"/>
            <w:tcBorders>
              <w:top w:val="single" w:sz="4" w:space="0" w:color="auto"/>
              <w:left w:val="single" w:sz="4" w:space="0" w:color="auto"/>
              <w:bottom w:val="single" w:sz="4" w:space="0" w:color="auto"/>
              <w:right w:val="single" w:sz="4" w:space="0" w:color="auto"/>
            </w:tcBorders>
            <w:vAlign w:val="center"/>
          </w:tcPr>
          <w:p w14:paraId="46AAC39F" w14:textId="77777777" w:rsidR="00A942A5" w:rsidRPr="00F244A5" w:rsidRDefault="00A942A5" w:rsidP="00140C63">
            <w:pPr>
              <w:rPr>
                <w:rFonts w:ascii="Arial" w:hAnsi="Arial" w:cs="Arial"/>
                <w:sz w:val="18"/>
                <w:szCs w:val="18"/>
              </w:rPr>
            </w:pPr>
            <w:r w:rsidRPr="00F244A5">
              <w:rPr>
                <w:rFonts w:ascii="Arial" w:hAnsi="Arial" w:cs="Arial"/>
                <w:sz w:val="18"/>
                <w:szCs w:val="18"/>
              </w:rPr>
              <w:t xml:space="preserve">Base de datos de la Dirección General de Programas y Proyectos en Vivienda y Urbanismo (DGPPVU) </w:t>
            </w:r>
          </w:p>
          <w:p w14:paraId="201F8A13" w14:textId="77777777" w:rsidR="00A942A5" w:rsidRDefault="00A942A5" w:rsidP="00140C63">
            <w:pPr>
              <w:rPr>
                <w:rFonts w:ascii="Arial" w:hAnsi="Arial" w:cs="Arial"/>
                <w:sz w:val="18"/>
                <w:szCs w:val="18"/>
              </w:rPr>
            </w:pPr>
            <w:r w:rsidRPr="00F244A5">
              <w:rPr>
                <w:rFonts w:ascii="Arial" w:hAnsi="Arial" w:cs="Arial"/>
                <w:sz w:val="18"/>
                <w:szCs w:val="18"/>
              </w:rPr>
              <w:t xml:space="preserve">Fondo </w:t>
            </w:r>
            <w:proofErr w:type="spellStart"/>
            <w:r w:rsidRPr="00F244A5">
              <w:rPr>
                <w:rFonts w:ascii="Arial" w:hAnsi="Arial" w:cs="Arial"/>
                <w:sz w:val="18"/>
                <w:szCs w:val="18"/>
              </w:rPr>
              <w:t>MiVivienda</w:t>
            </w:r>
            <w:proofErr w:type="spellEnd"/>
            <w:r w:rsidRPr="00F244A5">
              <w:rPr>
                <w:rFonts w:ascii="Arial" w:hAnsi="Arial" w:cs="Arial"/>
                <w:sz w:val="18"/>
                <w:szCs w:val="18"/>
              </w:rPr>
              <w:t>.</w:t>
            </w:r>
          </w:p>
          <w:p w14:paraId="7500B02C" w14:textId="1F231CA8" w:rsidR="00A942A5" w:rsidRPr="00F244A5" w:rsidRDefault="003A18C0" w:rsidP="00140C63">
            <w:pPr>
              <w:rPr>
                <w:rFonts w:ascii="Arial" w:hAnsi="Arial" w:cs="Arial"/>
                <w:sz w:val="18"/>
                <w:szCs w:val="18"/>
              </w:rPr>
            </w:pPr>
            <w:r w:rsidRPr="00B7051F">
              <w:rPr>
                <w:rFonts w:ascii="Arial" w:hAnsi="Arial" w:cs="Arial"/>
                <w:sz w:val="18"/>
                <w:szCs w:val="18"/>
              </w:rPr>
              <w:t>Base de datos de Brecha del sector de OGEI</w:t>
            </w:r>
            <w:r>
              <w:rPr>
                <w:rFonts w:ascii="Arial" w:hAnsi="Arial" w:cs="Arial"/>
                <w:sz w:val="18"/>
                <w:szCs w:val="18"/>
              </w:rPr>
              <w:t>.</w:t>
            </w:r>
          </w:p>
        </w:tc>
      </w:tr>
    </w:tbl>
    <w:p w14:paraId="0583569E" w14:textId="77777777" w:rsidR="00A942A5" w:rsidRPr="00F244A5" w:rsidRDefault="00A942A5" w:rsidP="00126AA5"/>
    <w:sectPr w:rsidR="00A942A5" w:rsidRPr="00F244A5" w:rsidSect="006C778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7746A" w14:textId="77777777" w:rsidR="00475B49" w:rsidRDefault="00475B49" w:rsidP="00B16099">
      <w:pPr>
        <w:spacing w:after="0" w:line="240" w:lineRule="auto"/>
      </w:pPr>
      <w:r>
        <w:separator/>
      </w:r>
    </w:p>
  </w:endnote>
  <w:endnote w:type="continuationSeparator" w:id="0">
    <w:p w14:paraId="2F980359" w14:textId="77777777" w:rsidR="00475B49" w:rsidRDefault="00475B49" w:rsidP="00B16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A801C" w14:textId="77777777" w:rsidR="00475B49" w:rsidRDefault="00475B49" w:rsidP="00B16099">
      <w:pPr>
        <w:spacing w:after="0" w:line="240" w:lineRule="auto"/>
      </w:pPr>
      <w:r>
        <w:separator/>
      </w:r>
    </w:p>
  </w:footnote>
  <w:footnote w:type="continuationSeparator" w:id="0">
    <w:p w14:paraId="4C0D3371" w14:textId="77777777" w:rsidR="00475B49" w:rsidRDefault="00475B49" w:rsidP="00B16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F0EE6"/>
    <w:multiLevelType w:val="hybridMultilevel"/>
    <w:tmpl w:val="830A95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53286F99"/>
    <w:multiLevelType w:val="hybridMultilevel"/>
    <w:tmpl w:val="0CA44B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9F9"/>
    <w:rsid w:val="00015669"/>
    <w:rsid w:val="00033DE5"/>
    <w:rsid w:val="00044744"/>
    <w:rsid w:val="0007434F"/>
    <w:rsid w:val="0007571C"/>
    <w:rsid w:val="00077889"/>
    <w:rsid w:val="000A2C3E"/>
    <w:rsid w:val="000A5C48"/>
    <w:rsid w:val="000B7A8B"/>
    <w:rsid w:val="000C2885"/>
    <w:rsid w:val="000E7F77"/>
    <w:rsid w:val="000F2E7B"/>
    <w:rsid w:val="000F6D2D"/>
    <w:rsid w:val="001009DD"/>
    <w:rsid w:val="00115BF4"/>
    <w:rsid w:val="001176E0"/>
    <w:rsid w:val="00126AA5"/>
    <w:rsid w:val="00146B8A"/>
    <w:rsid w:val="001623E5"/>
    <w:rsid w:val="00184420"/>
    <w:rsid w:val="0018629B"/>
    <w:rsid w:val="001945C3"/>
    <w:rsid w:val="001A5656"/>
    <w:rsid w:val="001A7B93"/>
    <w:rsid w:val="001B3926"/>
    <w:rsid w:val="001C091B"/>
    <w:rsid w:val="001D0CCC"/>
    <w:rsid w:val="001F2860"/>
    <w:rsid w:val="00215243"/>
    <w:rsid w:val="00217A91"/>
    <w:rsid w:val="002223B5"/>
    <w:rsid w:val="00230965"/>
    <w:rsid w:val="00230D59"/>
    <w:rsid w:val="002320F7"/>
    <w:rsid w:val="00234171"/>
    <w:rsid w:val="0023523A"/>
    <w:rsid w:val="00236E79"/>
    <w:rsid w:val="0024552E"/>
    <w:rsid w:val="00252F16"/>
    <w:rsid w:val="002535CE"/>
    <w:rsid w:val="00253AC3"/>
    <w:rsid w:val="00270478"/>
    <w:rsid w:val="00281DC3"/>
    <w:rsid w:val="00292613"/>
    <w:rsid w:val="002A298A"/>
    <w:rsid w:val="002B225A"/>
    <w:rsid w:val="002B2783"/>
    <w:rsid w:val="002B7C92"/>
    <w:rsid w:val="002C0D5A"/>
    <w:rsid w:val="002C48C1"/>
    <w:rsid w:val="002C62C6"/>
    <w:rsid w:val="002E5436"/>
    <w:rsid w:val="002F5386"/>
    <w:rsid w:val="002F6031"/>
    <w:rsid w:val="003219DD"/>
    <w:rsid w:val="0034320F"/>
    <w:rsid w:val="00364237"/>
    <w:rsid w:val="0037424E"/>
    <w:rsid w:val="00394082"/>
    <w:rsid w:val="003A18C0"/>
    <w:rsid w:val="003C28D4"/>
    <w:rsid w:val="003C737D"/>
    <w:rsid w:val="003E57E4"/>
    <w:rsid w:val="003F1D25"/>
    <w:rsid w:val="003F3499"/>
    <w:rsid w:val="0040109A"/>
    <w:rsid w:val="00426F10"/>
    <w:rsid w:val="00436DB2"/>
    <w:rsid w:val="004419F9"/>
    <w:rsid w:val="00444477"/>
    <w:rsid w:val="004445E8"/>
    <w:rsid w:val="00451B5E"/>
    <w:rsid w:val="00452F49"/>
    <w:rsid w:val="0045398B"/>
    <w:rsid w:val="00475B49"/>
    <w:rsid w:val="004C0C04"/>
    <w:rsid w:val="004D1543"/>
    <w:rsid w:val="004F4EA3"/>
    <w:rsid w:val="00514047"/>
    <w:rsid w:val="005156FC"/>
    <w:rsid w:val="00530524"/>
    <w:rsid w:val="0053066A"/>
    <w:rsid w:val="00535C06"/>
    <w:rsid w:val="00544508"/>
    <w:rsid w:val="00555EFD"/>
    <w:rsid w:val="005679B5"/>
    <w:rsid w:val="00583C89"/>
    <w:rsid w:val="00591775"/>
    <w:rsid w:val="00597D93"/>
    <w:rsid w:val="005D0D5C"/>
    <w:rsid w:val="005E0AD9"/>
    <w:rsid w:val="005E1F2C"/>
    <w:rsid w:val="005E3B1F"/>
    <w:rsid w:val="006030A2"/>
    <w:rsid w:val="00617328"/>
    <w:rsid w:val="00627246"/>
    <w:rsid w:val="006333B2"/>
    <w:rsid w:val="00645C67"/>
    <w:rsid w:val="00663B54"/>
    <w:rsid w:val="0067775D"/>
    <w:rsid w:val="00680D18"/>
    <w:rsid w:val="00682C57"/>
    <w:rsid w:val="00683194"/>
    <w:rsid w:val="00685B8D"/>
    <w:rsid w:val="006869C0"/>
    <w:rsid w:val="00690F68"/>
    <w:rsid w:val="00692944"/>
    <w:rsid w:val="006A7F3C"/>
    <w:rsid w:val="006B39EC"/>
    <w:rsid w:val="006B6D2A"/>
    <w:rsid w:val="006B7F22"/>
    <w:rsid w:val="006C06C1"/>
    <w:rsid w:val="006C6530"/>
    <w:rsid w:val="006C7780"/>
    <w:rsid w:val="006D59B2"/>
    <w:rsid w:val="006E154D"/>
    <w:rsid w:val="006E1CB9"/>
    <w:rsid w:val="00701522"/>
    <w:rsid w:val="007120C3"/>
    <w:rsid w:val="00737202"/>
    <w:rsid w:val="00742832"/>
    <w:rsid w:val="00746AB5"/>
    <w:rsid w:val="00754002"/>
    <w:rsid w:val="0075710B"/>
    <w:rsid w:val="00766D2C"/>
    <w:rsid w:val="00776990"/>
    <w:rsid w:val="00782065"/>
    <w:rsid w:val="00792323"/>
    <w:rsid w:val="00792E08"/>
    <w:rsid w:val="00793464"/>
    <w:rsid w:val="00793E19"/>
    <w:rsid w:val="00797695"/>
    <w:rsid w:val="007A597A"/>
    <w:rsid w:val="007B0BC5"/>
    <w:rsid w:val="007C1FF6"/>
    <w:rsid w:val="007C60C2"/>
    <w:rsid w:val="007D5A67"/>
    <w:rsid w:val="00814A46"/>
    <w:rsid w:val="00835B86"/>
    <w:rsid w:val="00844615"/>
    <w:rsid w:val="008564F8"/>
    <w:rsid w:val="00861164"/>
    <w:rsid w:val="00864B57"/>
    <w:rsid w:val="00877C4B"/>
    <w:rsid w:val="00880E18"/>
    <w:rsid w:val="008858C9"/>
    <w:rsid w:val="008920D3"/>
    <w:rsid w:val="008960EB"/>
    <w:rsid w:val="008A12B8"/>
    <w:rsid w:val="008C013D"/>
    <w:rsid w:val="008C5E63"/>
    <w:rsid w:val="008D3F3B"/>
    <w:rsid w:val="008F100F"/>
    <w:rsid w:val="008F3354"/>
    <w:rsid w:val="008F4675"/>
    <w:rsid w:val="009041F4"/>
    <w:rsid w:val="0094147E"/>
    <w:rsid w:val="00951CF4"/>
    <w:rsid w:val="00953F97"/>
    <w:rsid w:val="009619A2"/>
    <w:rsid w:val="00973EC3"/>
    <w:rsid w:val="00993DEA"/>
    <w:rsid w:val="009C3762"/>
    <w:rsid w:val="009E4454"/>
    <w:rsid w:val="00A01254"/>
    <w:rsid w:val="00A158A6"/>
    <w:rsid w:val="00A41A7E"/>
    <w:rsid w:val="00A51E54"/>
    <w:rsid w:val="00A569E3"/>
    <w:rsid w:val="00A616C9"/>
    <w:rsid w:val="00A62096"/>
    <w:rsid w:val="00A70D86"/>
    <w:rsid w:val="00A74174"/>
    <w:rsid w:val="00A942A5"/>
    <w:rsid w:val="00AC1111"/>
    <w:rsid w:val="00AD7EAA"/>
    <w:rsid w:val="00AE43E9"/>
    <w:rsid w:val="00B072DB"/>
    <w:rsid w:val="00B12FD6"/>
    <w:rsid w:val="00B16099"/>
    <w:rsid w:val="00B2181F"/>
    <w:rsid w:val="00B54B43"/>
    <w:rsid w:val="00B7051F"/>
    <w:rsid w:val="00B7501B"/>
    <w:rsid w:val="00B77CEC"/>
    <w:rsid w:val="00B82AB4"/>
    <w:rsid w:val="00B84820"/>
    <w:rsid w:val="00BB7441"/>
    <w:rsid w:val="00BD6FCF"/>
    <w:rsid w:val="00BD78EC"/>
    <w:rsid w:val="00BF0F5A"/>
    <w:rsid w:val="00BF38B1"/>
    <w:rsid w:val="00C05C4A"/>
    <w:rsid w:val="00C17248"/>
    <w:rsid w:val="00C23D60"/>
    <w:rsid w:val="00C31D35"/>
    <w:rsid w:val="00C52200"/>
    <w:rsid w:val="00C70DD8"/>
    <w:rsid w:val="00C7433F"/>
    <w:rsid w:val="00C825A0"/>
    <w:rsid w:val="00C82D74"/>
    <w:rsid w:val="00C85557"/>
    <w:rsid w:val="00C85781"/>
    <w:rsid w:val="00CB0756"/>
    <w:rsid w:val="00CB54E5"/>
    <w:rsid w:val="00CC5E05"/>
    <w:rsid w:val="00CC5E50"/>
    <w:rsid w:val="00CD037F"/>
    <w:rsid w:val="00CE522F"/>
    <w:rsid w:val="00D02D3B"/>
    <w:rsid w:val="00D13E08"/>
    <w:rsid w:val="00D14988"/>
    <w:rsid w:val="00D3056E"/>
    <w:rsid w:val="00D35366"/>
    <w:rsid w:val="00D57C7A"/>
    <w:rsid w:val="00DA0598"/>
    <w:rsid w:val="00DC1F77"/>
    <w:rsid w:val="00DD4424"/>
    <w:rsid w:val="00DF62C9"/>
    <w:rsid w:val="00E10515"/>
    <w:rsid w:val="00E13016"/>
    <w:rsid w:val="00E3204A"/>
    <w:rsid w:val="00E353B4"/>
    <w:rsid w:val="00E624A4"/>
    <w:rsid w:val="00E878A8"/>
    <w:rsid w:val="00E9375A"/>
    <w:rsid w:val="00E94A05"/>
    <w:rsid w:val="00ED713C"/>
    <w:rsid w:val="00EE74B6"/>
    <w:rsid w:val="00F005A1"/>
    <w:rsid w:val="00F022D3"/>
    <w:rsid w:val="00F035E9"/>
    <w:rsid w:val="00F04AB3"/>
    <w:rsid w:val="00F07FE3"/>
    <w:rsid w:val="00F10AFB"/>
    <w:rsid w:val="00F12F80"/>
    <w:rsid w:val="00F2394F"/>
    <w:rsid w:val="00F244A5"/>
    <w:rsid w:val="00F33776"/>
    <w:rsid w:val="00F431CD"/>
    <w:rsid w:val="00F43993"/>
    <w:rsid w:val="00F442D4"/>
    <w:rsid w:val="00F478C1"/>
    <w:rsid w:val="00F54EFA"/>
    <w:rsid w:val="00F577B2"/>
    <w:rsid w:val="00F604AE"/>
    <w:rsid w:val="00F72852"/>
    <w:rsid w:val="00F7349A"/>
    <w:rsid w:val="00F7380F"/>
    <w:rsid w:val="00F85591"/>
    <w:rsid w:val="00F95F5E"/>
    <w:rsid w:val="00F97E92"/>
    <w:rsid w:val="00FA2802"/>
    <w:rsid w:val="00FD1CDB"/>
    <w:rsid w:val="00FE5141"/>
    <w:rsid w:val="00FE53E0"/>
    <w:rsid w:val="00FF15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2B659"/>
  <w15:chartTrackingRefBased/>
  <w15:docId w15:val="{159B1E65-CD32-4855-9AB4-9C8B9CDF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19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1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419F9"/>
    <w:pPr>
      <w:ind w:left="720"/>
      <w:contextualSpacing/>
    </w:pPr>
  </w:style>
  <w:style w:type="paragraph" w:styleId="Sinespaciado">
    <w:name w:val="No Spacing"/>
    <w:uiPriority w:val="1"/>
    <w:qFormat/>
    <w:rsid w:val="004419F9"/>
    <w:pPr>
      <w:spacing w:after="0" w:line="240" w:lineRule="auto"/>
    </w:pPr>
  </w:style>
  <w:style w:type="paragraph" w:styleId="Encabezado">
    <w:name w:val="header"/>
    <w:basedOn w:val="Normal"/>
    <w:link w:val="EncabezadoCar"/>
    <w:uiPriority w:val="99"/>
    <w:unhideWhenUsed/>
    <w:rsid w:val="00B160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6099"/>
  </w:style>
  <w:style w:type="paragraph" w:styleId="Piedepgina">
    <w:name w:val="footer"/>
    <w:basedOn w:val="Normal"/>
    <w:link w:val="PiedepginaCar"/>
    <w:uiPriority w:val="99"/>
    <w:unhideWhenUsed/>
    <w:rsid w:val="00B160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6099"/>
  </w:style>
  <w:style w:type="character" w:styleId="Textodelmarcadordeposicin">
    <w:name w:val="Placeholder Text"/>
    <w:basedOn w:val="Fuentedeprrafopredeter"/>
    <w:uiPriority w:val="99"/>
    <w:semiHidden/>
    <w:rsid w:val="00B16099"/>
    <w:rPr>
      <w:color w:val="808080"/>
    </w:rPr>
  </w:style>
  <w:style w:type="character" w:styleId="Refdecomentario">
    <w:name w:val="annotation reference"/>
    <w:basedOn w:val="Fuentedeprrafopredeter"/>
    <w:uiPriority w:val="99"/>
    <w:semiHidden/>
    <w:unhideWhenUsed/>
    <w:rsid w:val="00F244A5"/>
    <w:rPr>
      <w:sz w:val="16"/>
      <w:szCs w:val="16"/>
    </w:rPr>
  </w:style>
  <w:style w:type="paragraph" w:styleId="Textocomentario">
    <w:name w:val="annotation text"/>
    <w:basedOn w:val="Normal"/>
    <w:link w:val="TextocomentarioCar"/>
    <w:uiPriority w:val="99"/>
    <w:semiHidden/>
    <w:unhideWhenUsed/>
    <w:rsid w:val="00F244A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44A5"/>
    <w:rPr>
      <w:sz w:val="20"/>
      <w:szCs w:val="20"/>
    </w:rPr>
  </w:style>
  <w:style w:type="paragraph" w:styleId="Asuntodelcomentario">
    <w:name w:val="annotation subject"/>
    <w:basedOn w:val="Textocomentario"/>
    <w:next w:val="Textocomentario"/>
    <w:link w:val="AsuntodelcomentarioCar"/>
    <w:uiPriority w:val="99"/>
    <w:semiHidden/>
    <w:unhideWhenUsed/>
    <w:rsid w:val="00F244A5"/>
    <w:rPr>
      <w:b/>
      <w:bCs/>
    </w:rPr>
  </w:style>
  <w:style w:type="character" w:customStyle="1" w:styleId="AsuntodelcomentarioCar">
    <w:name w:val="Asunto del comentario Car"/>
    <w:basedOn w:val="TextocomentarioCar"/>
    <w:link w:val="Asuntodelcomentario"/>
    <w:uiPriority w:val="99"/>
    <w:semiHidden/>
    <w:rsid w:val="00F244A5"/>
    <w:rPr>
      <w:b/>
      <w:bCs/>
      <w:sz w:val="20"/>
      <w:szCs w:val="20"/>
    </w:rPr>
  </w:style>
  <w:style w:type="paragraph" w:styleId="Textodeglobo">
    <w:name w:val="Balloon Text"/>
    <w:basedOn w:val="Normal"/>
    <w:link w:val="TextodegloboCar"/>
    <w:uiPriority w:val="99"/>
    <w:semiHidden/>
    <w:unhideWhenUsed/>
    <w:rsid w:val="00F244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44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96D88-D5FC-4407-9C81-A39A5374F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7</Pages>
  <Words>2841</Words>
  <Characters>15626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ERNESTO CORNEJO FLORES</dc:creator>
  <cp:keywords/>
  <dc:description/>
  <cp:lastModifiedBy>Daniel Vallejos Barboza</cp:lastModifiedBy>
  <cp:revision>13</cp:revision>
  <dcterms:created xsi:type="dcterms:W3CDTF">2024-04-05T23:14:00Z</dcterms:created>
  <dcterms:modified xsi:type="dcterms:W3CDTF">2024-04-30T15:17:00Z</dcterms:modified>
</cp:coreProperties>
</file>