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Custos e instalação da solução LLM</w:t>
      </w:r>
    </w:p>
    <w:p>
      <w:r>
        <w:t>Levantamento técnico e financeiro para utilização local na LLM</w:t>
      </w:r>
    </w:p>
    <w:p>
      <w:r>
        <w:rPr>
          <w:sz w:val="20"/>
        </w:rPr>
        <w:t>24 de setembro de 2026</w:t>
      </w:r>
    </w:p>
    <w:p>
      <w:r>
        <w:t>Recomenda-se iniciar um projeto-piloto com o Qwen2.5-Coder 14B executado localmente por meio do Ollama, reaproveitando o equipamento existente após verificar sua compatibilidade. A ausência de cobrança obrigatória de licença desses dois componentes reduz a despesa de software; implantação, energia, suporte e manutenção permanecem como custos da operação.</w:t>
      </w:r>
      <w:r>
        <w:t xml:space="preserve"> </w:t>
      </w:r>
      <w:hyperlink r:id="rId9">
        <w:r>
          <w:rPr>
            <w:color w:val="175A82"/>
            <w:u w:val="single"/>
          </w:rPr>
          <w:t>[4]</w:t>
        </w:r>
      </w:hyperlink>
      <w:r>
        <w:t xml:space="preserve"> </w:t>
      </w:r>
      <w:hyperlink r:id="rId10">
        <w:r>
          <w:rPr>
            <w:color w:val="175A82"/>
            <w:u w:val="single"/>
          </w:rPr>
          <w:t>[5]</w:t>
        </w:r>
      </w:hyperlink>
    </w:p>
    <w:p>
      <w:r>
        <w:t>O cenário de planejamento considera uma GPU com 24 GB nominais e 128 GB de RAM. O modelo exato da GPU, a memória efetivamente disponível, o armazenamento e a disponibilidade da máquina precisam ser confirmados antes da implantação. O escopo é utilizar um modelo já treinado como apoio ao desenvolvimento de software.</w:t>
      </w:r>
    </w:p>
    <w:p>
      <w:r>
        <w:rPr>
          <w:b/>
        </w:rPr>
        <w:t>Os totais de R$ 6.000,00 para implantação e R$ 2.458,40 por mês para operação são simulações de planejamento.</w:t>
      </w:r>
      <w:r>
        <w:t xml:space="preserve"> Sua aprovação como orçamento depende de medições, preços e escopo de serviço comprovados.</w:t>
      </w:r>
    </w:p>
    <w:p>
      <w:pPr>
        <w:pStyle w:val="Heading1"/>
      </w:pPr>
      <w:r>
        <w:t>Fundamentos da escolha do modelo</w:t>
      </w:r>
    </w:p>
    <w:p>
      <w:r>
        <w:t>A versão Q4_K_M do Qwen2.5-Coder 14B tem aproximadamente 9 GB de arquivo, enquanto a versão equivalente de 32B tem 20 GB. Para uma única GPU com 24 GB nominais, a versão menor oferece mais margem para o contexto das conversas e os recursos usados pelo executor. Essa é uma avaliação de dimensionamento baseada nos tamanhos publicados.</w:t>
      </w:r>
      <w:r>
        <w:t xml:space="preserve"> </w:t>
      </w:r>
      <w:hyperlink r:id="rId11">
        <w:r>
          <w:rPr>
            <w:color w:val="175A82"/>
            <w:u w:val="single"/>
          </w:rPr>
          <w:t>[2]</w:t>
        </w:r>
      </w:hyperlink>
      <w:r>
        <w:t xml:space="preserve"> </w:t>
      </w:r>
      <w:hyperlink r:id="rId12">
        <w:r>
          <w:rPr>
            <w:color w:val="175A82"/>
            <w:u w:val="single"/>
          </w:rPr>
          <w:t>[3]</w:t>
        </w:r>
      </w:hyperlink>
    </w:p>
    <w:p>
      <w:r>
        <w:t>O tamanho do arquivo não equivale a todo o consumo de VRAM. A execução também utiliza memória para contexto e outros recursos. Os 128 GB de RAM do computador não se somam à VRAM como se fossem uma única memória equivalente para execução integral na GPU. A ocupação e o desempenho precisam ser observados na máquina.</w:t>
      </w:r>
      <w:r>
        <w:t xml:space="preserve"> </w:t>
      </w:r>
      <w:hyperlink r:id="rId13">
        <w:r>
          <w:rPr>
            <w:color w:val="175A82"/>
            <w:u w:val="single"/>
          </w:rPr>
          <w:t>[10]</w:t>
        </w:r>
      </w:hyperlink>
    </w:p>
    <w:p>
      <w:r>
        <w:t>No relatório técnico de 2024, o 14B obteve 48,4% no BigCodeBench-Instruct, contra 49,6% do 32B. A diferença de 1,2 ponto percentual nesse teste fundamenta a avaliação do modelo menor quando a memória é limitada. Os resultados não comprovam o desempenho da versão quantizada no equipamento da LLM e não constituem um ranking atualizado de todos os modelos.</w:t>
      </w:r>
      <w:r>
        <w:t xml:space="preserve"> </w:t>
      </w:r>
      <w:hyperlink r:id="rId14">
        <w:r>
          <w:rPr>
            <w:color w:val="175A82"/>
            <w:u w:val="single"/>
          </w:rPr>
          <w:t>[1]</w:t>
        </w:r>
      </w:hyperlink>
    </w:p>
    <w:p>
      <w:r>
        <w:t>A escolha proposta é, portanto, um ponto de partida para o piloto. A decisão de adoção deve considerar a qualidade das respostas, o retrabalho e o tempo necessário para concluir tarefas reais.</w:t>
      </w:r>
    </w:p>
    <w:p>
      <w:pPr>
        <w:pStyle w:val="Heading1"/>
      </w:pPr>
      <w:r>
        <w:t>Composição dos custos</w:t>
      </w:r>
    </w:p>
    <w:p>
      <w:r>
        <w:t>O levantamento separa despesas de aquisição, custos de implantação e gastos recorrentes. O valor zero indicado para licenças se refere aos componentes locais especificados, observadas suas respectivas condições de uso.</w:t>
      </w:r>
      <w:r>
        <w:t xml:space="preserve"> </w:t>
      </w:r>
      <w:hyperlink r:id="rId9">
        <w:r>
          <w:rPr>
            <w:color w:val="175A82"/>
            <w:u w:val="single"/>
          </w:rPr>
          <w:t>[4]</w:t>
        </w:r>
      </w:hyperlink>
      <w:r>
        <w:t xml:space="preserve"> </w:t>
      </w:r>
      <w:hyperlink r:id="rId10">
        <w:r>
          <w:rPr>
            <w:color w:val="175A82"/>
            <w:u w:val="single"/>
          </w:rPr>
          <w:t>[5]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32"/>
        <w:gridCol w:w="2664"/>
        <w:gridCol w:w="5040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4EDF3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b/>
                <w:sz w:val="20"/>
              </w:rPr>
              <w:t>Item</w:t>
            </w:r>
          </w:p>
        </w:tc>
        <w:tc>
          <w:tcPr>
            <w:tcW w:type="dxa" w:w="266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4EDF3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b/>
                <w:sz w:val="20"/>
              </w:rPr>
              <w:t>Valor ou cálculo</w:t>
            </w:r>
          </w:p>
        </w:tc>
        <w:tc>
          <w:tcPr>
            <w:tcW w:type="dxa" w:w="50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4EDF3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b/>
                <w:sz w:val="20"/>
              </w:rPr>
              <w:t>Fundamento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sz w:val="20"/>
              </w:rPr>
              <w:t>Licença do modelo</w:t>
            </w:r>
          </w:p>
        </w:tc>
        <w:tc>
          <w:tcPr>
            <w:tcW w:type="dxa" w:w="266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sz w:val="20"/>
              </w:rPr>
              <w:t>R$ 0 de licença obrigatória</w:t>
            </w:r>
          </w:p>
        </w:tc>
        <w:tc>
          <w:tcPr>
            <w:tcW w:type="dxa" w:w="50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sz w:val="20"/>
              </w:rPr>
              <w:t>Qwen2.5-Coder-14B-Instruct sob Apache 2.0 [4].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7F9FB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sz w:val="20"/>
              </w:rPr>
              <w:t>Executor Ollama local</w:t>
            </w:r>
          </w:p>
        </w:tc>
        <w:tc>
          <w:tcPr>
            <w:tcW w:type="dxa" w:w="266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7F9FB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sz w:val="20"/>
              </w:rPr>
              <w:t>R$ 0 de licença obrigatória</w:t>
            </w:r>
          </w:p>
        </w:tc>
        <w:tc>
          <w:tcPr>
            <w:tcW w:type="dxa" w:w="50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7F9FB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sz w:val="20"/>
              </w:rPr>
              <w:t>Software sob licença MIT [5].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sz w:val="20"/>
              </w:rPr>
              <w:t>Compra de computador</w:t>
            </w:r>
          </w:p>
        </w:tc>
        <w:tc>
          <w:tcPr>
            <w:tcW w:type="dxa" w:w="266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sz w:val="20"/>
              </w:rPr>
              <w:t>R$ 0 adicional se houver reaproveitamento</w:t>
            </w:r>
          </w:p>
        </w:tc>
        <w:tc>
          <w:tcPr>
            <w:tcW w:type="dxa" w:w="50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sz w:val="20"/>
              </w:rPr>
              <w:t>Confirmar compatibilidade, memória, armazenamento e disponibilidade da máquina.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7F9FB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sz w:val="20"/>
              </w:rPr>
              <w:t>Implantação</w:t>
            </w:r>
          </w:p>
        </w:tc>
        <w:tc>
          <w:tcPr>
            <w:tcW w:type="dxa" w:w="266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7F9FB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sz w:val="20"/>
              </w:rPr>
              <w:t>Horas de trabalho × valor da hora</w:t>
            </w:r>
          </w:p>
        </w:tc>
        <w:tc>
          <w:tcPr>
            <w:tcW w:type="dxa" w:w="50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7F9FB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sz w:val="20"/>
              </w:rPr>
              <w:t>Instalação, acesso, integração, testes e orientação aos usuários.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sz w:val="20"/>
              </w:rPr>
              <w:t>Energia</w:t>
            </w:r>
          </w:p>
        </w:tc>
        <w:tc>
          <w:tcPr>
            <w:tcW w:type="dxa" w:w="266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sz w:val="20"/>
              </w:rPr>
              <w:t>Consumo em kWh × tarifa aplicável</w:t>
            </w:r>
          </w:p>
        </w:tc>
        <w:tc>
          <w:tcPr>
            <w:tcW w:type="dxa" w:w="50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sz w:val="20"/>
              </w:rPr>
              <w:t>Medição do equipamento completo e tarifa da unidade.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7F9FB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sz w:val="20"/>
              </w:rPr>
              <w:t>Operação e suporte</w:t>
            </w:r>
          </w:p>
        </w:tc>
        <w:tc>
          <w:tcPr>
            <w:tcW w:type="dxa" w:w="266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7F9FB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sz w:val="20"/>
              </w:rPr>
              <w:t>Horas mensais × valor da hora</w:t>
            </w:r>
          </w:p>
        </w:tc>
        <w:tc>
          <w:tcPr>
            <w:tcW w:type="dxa" w:w="50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7F9FB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sz w:val="20"/>
              </w:rPr>
              <w:t>Atualizações, incidentes e acompanhamento da capacidade.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sz w:val="20"/>
              </w:rPr>
              <w:t>Manutenção e reposição</w:t>
            </w:r>
          </w:p>
        </w:tc>
        <w:tc>
          <w:tcPr>
            <w:tcW w:type="dxa" w:w="266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sz w:val="20"/>
              </w:rPr>
              <w:t>Cotação ou provisão identificada</w:t>
            </w:r>
          </w:p>
        </w:tc>
        <w:tc>
          <w:tcPr>
            <w:tcW w:type="dxa" w:w="50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sz w:val="20"/>
              </w:rPr>
              <w:t>Falhas, desgaste e substituição de componentes.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7F9FB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sz w:val="20"/>
              </w:rPr>
              <w:t>Serviços externos mantidos</w:t>
            </w:r>
          </w:p>
        </w:tc>
        <w:tc>
          <w:tcPr>
            <w:tcW w:type="dxa" w:w="266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7F9FB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sz w:val="20"/>
              </w:rPr>
              <w:t>Valor dos contratos preservados</w:t>
            </w:r>
          </w:p>
        </w:tc>
        <w:tc>
          <w:tcPr>
            <w:tcW w:type="dxa" w:w="50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7F9FB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sz w:val="20"/>
              </w:rPr>
              <w:t>Integram o custo total quando a operação é híbrida.</w:t>
            </w:r>
          </w:p>
        </w:tc>
      </w:tr>
    </w:tbl>
    <w:p>
      <w:pPr>
        <w:spacing w:after="20" w:line="60" w:lineRule="exact"/>
      </w:pPr>
      <w:r>
        <w:rPr>
          <w:sz w:val="6"/>
        </w:rPr>
      </w:r>
    </w:p>
    <w:p>
      <w:pPr>
        <w:pStyle w:val="Heading1"/>
      </w:pPr>
      <w:r>
        <w:t>Simulação financeira de planejamento</w:t>
      </w:r>
    </w:p>
    <w:p>
      <w:r>
        <w:t>Todos os valores de trabalho, consumo, tarifa, refrigeração e provisões da tabela são hipóteses. As referências fundamentam os componentes técnicos e o método de cálculo; elas não comprovam os preços ou as quantidades adotados nesta simulação.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92"/>
        <w:gridCol w:w="4464"/>
        <w:gridCol w:w="2880"/>
      </w:tblGrid>
      <w:tr>
        <w:trPr>
          <w:cantSplit/>
          <w:tblHeader/>
        </w:trPr>
        <w:tc>
          <w:tcPr>
            <w:tcW w:type="dxa" w:w="25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4EDF3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b/>
                <w:sz w:val="20"/>
              </w:rPr>
              <w:t>Componente</w:t>
            </w:r>
          </w:p>
        </w:tc>
        <w:tc>
          <w:tcPr>
            <w:tcW w:type="dxa" w:w="446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4EDF3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b/>
                <w:sz w:val="20"/>
              </w:rPr>
              <w:t>Hipótese de cálculo</w:t>
            </w:r>
          </w:p>
        </w:tc>
        <w:tc>
          <w:tcPr>
            <w:tcW w:type="dxa" w:w="2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E4EDF3"/>
          </w:tcPr>
          <w:p>
            <w:pPr>
              <w:spacing w:before="0" w:after="20" w:line="252" w:lineRule="auto"/>
              <w:jc w:val="right"/>
            </w:pPr>
            <w:r>
              <w:rPr>
                <w:rFonts w:ascii="Arial" w:hAnsi="Arial"/>
                <w:b/>
                <w:sz w:val="20"/>
              </w:rPr>
              <w:t>Resultado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sz w:val="20"/>
              </w:rPr>
              <w:t>Implantação inicial</w:t>
            </w:r>
          </w:p>
        </w:tc>
        <w:tc>
          <w:tcPr>
            <w:tcW w:type="dxa" w:w="446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sz w:val="20"/>
              </w:rPr>
              <w:t>40 horas × R$ 150/h</w:t>
            </w:r>
          </w:p>
        </w:tc>
        <w:tc>
          <w:tcPr>
            <w:tcW w:type="dxa" w:w="2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before="0" w:after="20" w:line="252" w:lineRule="auto"/>
              <w:jc w:val="right"/>
            </w:pPr>
            <w:r>
              <w:rPr>
                <w:rFonts w:ascii="Arial" w:hAnsi="Arial"/>
                <w:sz w:val="20"/>
              </w:rPr>
              <w:t>R$ 6.000,00</w:t>
              <w:br/>
              <w:t>Uma vez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7F9FB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sz w:val="20"/>
              </w:rPr>
              <w:t>Suporte mensal</w:t>
            </w:r>
          </w:p>
        </w:tc>
        <w:tc>
          <w:tcPr>
            <w:tcW w:type="dxa" w:w="446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7F9FB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sz w:val="20"/>
              </w:rPr>
              <w:t>12 horas × R$ 150/h</w:t>
            </w:r>
          </w:p>
        </w:tc>
        <w:tc>
          <w:tcPr>
            <w:tcW w:type="dxa" w:w="2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7F9FB"/>
          </w:tcPr>
          <w:p>
            <w:pPr>
              <w:spacing w:before="0" w:after="20" w:line="252" w:lineRule="auto"/>
              <w:jc w:val="right"/>
            </w:pPr>
            <w:r>
              <w:rPr>
                <w:rFonts w:ascii="Arial" w:hAnsi="Arial"/>
                <w:sz w:val="20"/>
              </w:rPr>
              <w:t>R$ 1.800,00/mês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sz w:val="20"/>
              </w:rPr>
              <w:t>Energia do computador</w:t>
            </w:r>
          </w:p>
        </w:tc>
        <w:tc>
          <w:tcPr>
            <w:tcW w:type="dxa" w:w="446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sz w:val="20"/>
              </w:rPr>
              <w:t>0,5 kW médios × 220 h × R$ 1,20/kWh</w:t>
            </w:r>
          </w:p>
        </w:tc>
        <w:tc>
          <w:tcPr>
            <w:tcW w:type="dxa" w:w="2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before="0" w:after="20" w:line="252" w:lineRule="auto"/>
              <w:jc w:val="right"/>
            </w:pPr>
            <w:r>
              <w:rPr>
                <w:rFonts w:ascii="Arial" w:hAnsi="Arial"/>
                <w:sz w:val="20"/>
              </w:rPr>
              <w:t>R$ 132,00/mês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7F9FB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sz w:val="20"/>
              </w:rPr>
              <w:t>Refrigeração</w:t>
            </w:r>
          </w:p>
        </w:tc>
        <w:tc>
          <w:tcPr>
            <w:tcW w:type="dxa" w:w="446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7F9FB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sz w:val="20"/>
              </w:rPr>
              <w:t>20% adicionais sobre o custo de energia</w:t>
            </w:r>
          </w:p>
        </w:tc>
        <w:tc>
          <w:tcPr>
            <w:tcW w:type="dxa" w:w="2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7F9FB"/>
          </w:tcPr>
          <w:p>
            <w:pPr>
              <w:spacing w:before="0" w:after="20" w:line="252" w:lineRule="auto"/>
              <w:jc w:val="right"/>
            </w:pPr>
            <w:r>
              <w:rPr>
                <w:rFonts w:ascii="Arial" w:hAnsi="Arial"/>
                <w:sz w:val="20"/>
              </w:rPr>
              <w:t>R$ 26,40/mês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sz w:val="20"/>
              </w:rPr>
              <w:t>Reserva de manutenção</w:t>
            </w:r>
          </w:p>
        </w:tc>
        <w:tc>
          <w:tcPr>
            <w:tcW w:type="dxa" w:w="446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sz w:val="20"/>
              </w:rPr>
              <w:t>Provisão de planejamento</w:t>
            </w:r>
          </w:p>
        </w:tc>
        <w:tc>
          <w:tcPr>
            <w:tcW w:type="dxa" w:w="2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before="0" w:after="20" w:line="252" w:lineRule="auto"/>
              <w:jc w:val="right"/>
            </w:pPr>
            <w:r>
              <w:rPr>
                <w:rFonts w:ascii="Arial" w:hAnsi="Arial"/>
                <w:sz w:val="20"/>
              </w:rPr>
              <w:t>R$ 300,00/mês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7F9FB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sz w:val="20"/>
              </w:rPr>
              <w:t>Monitoramento</w:t>
            </w:r>
          </w:p>
        </w:tc>
        <w:tc>
          <w:tcPr>
            <w:tcW w:type="dxa" w:w="446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7F9FB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sz w:val="20"/>
              </w:rPr>
              <w:t>Provisão de planejamento</w:t>
            </w:r>
          </w:p>
        </w:tc>
        <w:tc>
          <w:tcPr>
            <w:tcW w:type="dxa" w:w="2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7F9FB"/>
          </w:tcPr>
          <w:p>
            <w:pPr>
              <w:spacing w:before="0" w:after="20" w:line="252" w:lineRule="auto"/>
              <w:jc w:val="right"/>
            </w:pPr>
            <w:r>
              <w:rPr>
                <w:rFonts w:ascii="Arial" w:hAnsi="Arial"/>
                <w:sz w:val="20"/>
              </w:rPr>
              <w:t>R$ 200,00/mês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sz w:val="20"/>
              </w:rPr>
              <w:t>Total mensal simulado</w:t>
            </w:r>
          </w:p>
        </w:tc>
        <w:tc>
          <w:tcPr>
            <w:tcW w:type="dxa" w:w="446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sz w:val="20"/>
              </w:rPr>
              <w:t>Soma dos custos recorrentes</w:t>
            </w:r>
          </w:p>
        </w:tc>
        <w:tc>
          <w:tcPr>
            <w:tcW w:type="dxa" w:w="2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before="0" w:after="20" w:line="252" w:lineRule="auto"/>
              <w:jc w:val="right"/>
            </w:pPr>
            <w:r>
              <w:rPr>
                <w:rFonts w:ascii="Arial" w:hAnsi="Arial"/>
                <w:sz w:val="20"/>
              </w:rPr>
              <w:t>R$ 2.458,40/mês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7F9FB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sz w:val="20"/>
              </w:rPr>
              <w:t>Operação anual simulada</w:t>
            </w:r>
          </w:p>
        </w:tc>
        <w:tc>
          <w:tcPr>
            <w:tcW w:type="dxa" w:w="446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7F9FB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sz w:val="20"/>
              </w:rPr>
              <w:t>12 × R$ 2.458,40</w:t>
            </w:r>
          </w:p>
        </w:tc>
        <w:tc>
          <w:tcPr>
            <w:tcW w:type="dxa" w:w="2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7F9FB"/>
          </w:tcPr>
          <w:p>
            <w:pPr>
              <w:spacing w:before="0" w:after="20" w:line="252" w:lineRule="auto"/>
              <w:jc w:val="right"/>
            </w:pPr>
            <w:r>
              <w:rPr>
                <w:rFonts w:ascii="Arial" w:hAnsi="Arial"/>
                <w:sz w:val="20"/>
              </w:rPr>
              <w:t>R$ 29.500,80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sz w:val="20"/>
              </w:rPr>
              <w:t>Primeiro ano simulado</w:t>
            </w:r>
          </w:p>
        </w:tc>
        <w:tc>
          <w:tcPr>
            <w:tcW w:type="dxa" w:w="446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before="0" w:after="20" w:line="252" w:lineRule="auto"/>
            </w:pPr>
            <w:r>
              <w:rPr>
                <w:rFonts w:ascii="Arial" w:hAnsi="Arial"/>
                <w:sz w:val="20"/>
              </w:rPr>
              <w:t>Implantação + 12 meses de operação</w:t>
            </w:r>
          </w:p>
        </w:tc>
        <w:tc>
          <w:tcPr>
            <w:tcW w:type="dxa" w:w="2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before="0" w:after="20" w:line="252" w:lineRule="auto"/>
              <w:jc w:val="right"/>
            </w:pPr>
            <w:r>
              <w:rPr>
                <w:rFonts w:ascii="Arial" w:hAnsi="Arial"/>
                <w:sz w:val="20"/>
              </w:rPr>
              <w:t>R$ 35.500,80</w:t>
            </w:r>
          </w:p>
        </w:tc>
      </w:tr>
    </w:tbl>
    <w:p>
      <w:pPr>
        <w:spacing w:after="20" w:line="60" w:lineRule="exact"/>
      </w:pPr>
      <w:r>
        <w:rPr>
          <w:sz w:val="6"/>
        </w:rPr>
      </w:r>
    </w:p>
    <w:p>
      <w:r>
        <w:t>O consumo hipotético é de 110 kWh por mês: 0,5 kW × 220 horas. As 220 horas correspondem, por exemplo, a 10 horas de funcionamento em 22 dias. Se o equipamento permanecer ligado em outros períodos, a energia ociosa adicional deve ser contabilizada.</w:t>
      </w:r>
    </w:p>
    <w:p>
      <w:r>
        <w:t>Não estão incluídos nos totais: novas compras de equipamentos, SSD adicional, nobreak, segunda GPU, depreciação e ferramentas externas. Custos de equipe interna representam alocação de trabalho e não necessariamente um novo pagamento. Suporte e monitoramento precisam ter escopos distintos para evitar dupla contagem.</w:t>
      </w:r>
    </w:p>
    <w:p>
      <w:pPr>
        <w:pStyle w:val="Heading1"/>
      </w:pPr>
      <w:r>
        <w:t>Evidências necessárias para fechar o orçamento</w:t>
      </w:r>
    </w:p>
    <w:p>
      <w:r>
        <w:rPr>
          <w:b/>
        </w:rPr>
        <w:t>Implantação e suporte.</w:t>
      </w:r>
      <w:r>
        <w:t xml:space="preserve"> Os R$ 150 por hora, as 40 horas iniciais e as 12 horas mensais devem ser substituídos por proposta técnica ou custo interno apurado. A proposta precisa detalhar atividades, entregas, responsabilidades, atendimento e critérios de aceite. A documentação do software sustenta a necessidade das atividades, mas não determina sua duração nem o preço do serviço.</w:t>
      </w:r>
    </w:p>
    <w:p>
      <w:r>
        <w:rPr>
          <w:b/>
        </w:rPr>
        <w:t>Energia.</w:t>
      </w:r>
      <w:r>
        <w:t xml:space="preserve"> Os 500 W médios devem ser medidos no computador completo durante uma utilização representativa, incluindo períodos ociosos. O nvidia-smi informa leituras da placa; elas não equivalem, isoladamente, ao consumo de toda a máquina.</w:t>
      </w:r>
      <w:r>
        <w:t xml:space="preserve"> </w:t>
      </w:r>
      <w:hyperlink r:id="rId15">
        <w:r>
          <w:rPr>
            <w:color w:val="175A82"/>
            <w:u w:val="single"/>
          </w:rPr>
          <w:t>[6]</w:t>
        </w:r>
      </w:hyperlink>
    </w:p>
    <w:p>
      <w:r>
        <w:rPr>
          <w:b/>
        </w:rPr>
        <w:t>Tarifa.</w:t>
      </w:r>
      <w:r>
        <w:t xml:space="preserve"> O valor deve ser obtido na conta e na modalidade de fornecimento da unidade. A ANEEL informa que seu ranking tarifário não contempla todos os tributos e adicionais da fatura. Por isso, o valor hipotético de R$ 1,20/kWh não deve ser apresentado como tarifa confirmada da LLM.</w:t>
      </w:r>
      <w:r>
        <w:t xml:space="preserve"> </w:t>
      </w:r>
      <w:hyperlink r:id="rId16">
        <w:r>
          <w:rPr>
            <w:color w:val="175A82"/>
            <w:u w:val="single"/>
          </w:rPr>
          <w:t>[7]</w:t>
        </w:r>
      </w:hyperlink>
    </w:p>
    <w:p>
      <w:r>
        <w:rPr>
          <w:b/>
        </w:rPr>
        <w:t>Refrigeração e manutenção.</w:t>
      </w:r>
      <w:r>
        <w:t xml:space="preserve"> O acréscimo de 20% e as reservas de R$ 300,00 e R$ 200,00 são provisões. Sua validação depende do consumo adicional de climatização, dos serviços contratados e do histórico de manutenção. Esses valores não constituem obrigações de pagamento já comprovadas.</w:t>
      </w:r>
    </w:p>
    <w:p>
      <w:pPr>
        <w:pStyle w:val="Heading1"/>
      </w:pPr>
      <w:r>
        <w:t>Procedimentos de instalação e disponibilização</w:t>
      </w:r>
    </w:p>
    <w:p>
      <w:r>
        <w:t>A sequência a seguir descreve a implantação em Linux compatível. A configuração deve ser adaptada ao sistema e à GPU efetivamente disponíveis.</w:t>
      </w:r>
    </w:p>
    <w:p>
      <w:pPr>
        <w:pStyle w:val="Heading2"/>
      </w:pPr>
      <w:r>
        <w:t>1 Conferir o equipamento</w:t>
      </w:r>
    </w:p>
    <w:p>
      <w:r>
        <w:t>Identificar a GPU, a versão do driver, a memória disponível e o espaço em disco. Ter 24 GB de memória não comprova, por si só, compatibilidade. A documentação do Ollama apresenta requisitos específicos por fabricante; em uma GPU NVIDIA, o comando nvidia-smi permite conferir identificação e driver.</w:t>
      </w:r>
      <w:r>
        <w:t xml:space="preserve"> </w:t>
      </w:r>
      <w:hyperlink r:id="rId17">
        <w:r>
          <w:rPr>
            <w:color w:val="175A82"/>
            <w:u w:val="single"/>
          </w:rPr>
          <w:t>[8]</w:t>
        </w:r>
      </w:hyperlink>
      <w:r>
        <w:t xml:space="preserve"> </w:t>
      </w:r>
      <w:hyperlink r:id="rId18">
        <w:r>
          <w:rPr>
            <w:color w:val="175A82"/>
            <w:u w:val="single"/>
          </w:rPr>
          <w:t>[9]</w:t>
        </w:r>
      </w:hyperlink>
    </w:p>
    <w:p>
      <w:pPr>
        <w:pStyle w:val="Heading2"/>
      </w:pPr>
      <w:r>
        <w:t>2 Instalar o executor</w:t>
      </w:r>
    </w:p>
    <w:p>
      <w:r>
        <w:t>Instalar o Ollama conforme a documentação oficial e configurá-lo como serviço do sistema. O serviço permite inicialização automática e consulta aos registros de funcionamento, reduzindo a dependência de um terminal aberto.</w:t>
      </w:r>
      <w:r>
        <w:t xml:space="preserve"> </w:t>
      </w:r>
      <w:hyperlink r:id="rId18">
        <w:r>
          <w:rPr>
            <w:color w:val="175A82"/>
            <w:u w:val="single"/>
          </w:rPr>
          <w:t>[9]</w:t>
        </w:r>
      </w:hyperlink>
    </w:p>
    <w:p>
      <w:pPr>
        <w:pStyle w:val="Heading2"/>
      </w:pPr>
      <w:r>
        <w:t>3 Baixar o modelo identificado</w:t>
      </w:r>
    </w:p>
    <w:p>
      <w:r>
        <w:t>Utilizar a identificação explícita qwen2.5-coder:14b-instruct-q4_K_M. Registrar o modelo e a quantização torna a configuração avaliada identificável e permite repetir a comparação posteriormente.</w:t>
      </w:r>
      <w:r>
        <w:t xml:space="preserve"> </w:t>
      </w:r>
      <w:hyperlink r:id="rId11">
        <w:r>
          <w:rPr>
            <w:color w:val="175A82"/>
            <w:u w:val="single"/>
          </w:rPr>
          <w:t>[2]</w:t>
        </w:r>
      </w:hyperlink>
    </w:p>
    <w:p>
      <w:r>
        <w:t>Os comandos centrais para instalação básica e primeira execução são:</w:t>
      </w:r>
      <w:r>
        <w:t xml:space="preserve"> </w:t>
      </w:r>
      <w:hyperlink r:id="rId11">
        <w:r>
          <w:rPr>
            <w:color w:val="175A82"/>
            <w:u w:val="single"/>
          </w:rPr>
          <w:t>[2]</w:t>
        </w:r>
      </w:hyperlink>
      <w:r>
        <w:t xml:space="preserve"> </w:t>
      </w:r>
      <w:hyperlink r:id="rId18">
        <w:r>
          <w:rPr>
            <w:color w:val="175A82"/>
            <w:u w:val="single"/>
          </w:rPr>
          <w:t>[9]</w:t>
        </w:r>
      </w:hyperlink>
    </w:p>
    <w:p>
      <w:pPr>
        <w:keepLines/>
        <w:spacing w:line="259" w:lineRule="auto"/>
        <w:ind w:left="173"/>
      </w:pPr>
      <w:r>
        <w:rPr>
          <w:rFonts w:ascii="Courier New" w:hAnsi="Courier New"/>
          <w:sz w:val="18"/>
        </w:rPr>
        <w:t>curl -fsSL https://ollama.com/install.sh | sh</w:t>
        <w:br/>
        <w:t>ollama pull qwen2.5-coder:14b-instruct-q4_K_M</w:t>
        <w:br/>
        <w:t>ollama run qwen2.5-coder:14b-instruct-q4_K_M</w:t>
      </w:r>
    </w:p>
    <w:p>
      <w:r>
        <w:t>Esses comandos cobrem a instalação básica e a execução inicial. A disponibilização para a equipe também exige as configurações e validações das etapas seguintes.</w:t>
      </w:r>
    </w:p>
    <w:p>
      <w:pPr>
        <w:pStyle w:val="Heading2"/>
      </w:pPr>
      <w:r>
        <w:t>4 Configurar o piloto</w:t>
      </w:r>
    </w:p>
    <w:p>
      <w:r>
        <w:t>Propõe-se começar com contexto de 8.192 tokens e uma solicitação em processamento. Em seguida, testar duas e três solicitações simultâneas. O contexto compreende o conteúdo de entrada, o histórico e a resposta. Seu tamanho e o paralelismo aumentam o uso de memória; os limites propostos são parâmetros iniciais de teste, sem garantia prévia de capacidade.</w:t>
      </w:r>
      <w:r>
        <w:t xml:space="preserve"> </w:t>
      </w:r>
      <w:hyperlink r:id="rId13">
        <w:r>
          <w:rPr>
            <w:color w:val="175A82"/>
            <w:u w:val="single"/>
          </w:rPr>
          <w:t>[10]</w:t>
        </w:r>
      </w:hyperlink>
    </w:p>
    <w:p>
      <w:pPr>
        <w:pStyle w:val="Heading2"/>
      </w:pPr>
      <w:r>
        <w:t>5 Disponibilizar acesso restrito</w:t>
      </w:r>
    </w:p>
    <w:p>
      <w:r>
        <w:t>Antes de compartilhar o servidor, configurar acesso restrito e autenticação em uma camada adicional da arquitetura. A API local do Ollama não exige autenticação. Essa característica fundamenta a necessidade de proteger o acesso compartilhado.</w:t>
      </w:r>
      <w:r>
        <w:t xml:space="preserve"> </w:t>
      </w:r>
      <w:hyperlink r:id="rId19">
        <w:r>
          <w:rPr>
            <w:color w:val="175A82"/>
            <w:u w:val="single"/>
          </w:rPr>
          <w:t>[11]</w:t>
        </w:r>
      </w:hyperlink>
    </w:p>
    <w:p>
      <w:pPr>
        <w:pStyle w:val="Heading2"/>
      </w:pPr>
      <w:r>
        <w:t>6 Integrar ao ambiente de trabalho</w:t>
      </w:r>
    </w:p>
    <w:p>
      <w:r>
        <w:t>Configurar uma interface ou extensão, como Continue, apontando para o servidor. A documentação oferece parâmetros para o provedor Ollama, o endereço da API e o contexto. O tamanho de contexto configurado no cliente também deve respeitar o dimensionamento do piloto.</w:t>
      </w:r>
      <w:r>
        <w:t xml:space="preserve"> </w:t>
      </w:r>
      <w:hyperlink r:id="rId20">
        <w:r>
          <w:rPr>
            <w:color w:val="175A82"/>
            <w:u w:val="single"/>
          </w:rPr>
          <w:t>[12]</w:t>
        </w:r>
      </w:hyperlink>
    </w:p>
    <w:p>
      <w:pPr>
        <w:pStyle w:val="Heading2"/>
      </w:pPr>
      <w:r>
        <w:t>7 Validar a utilização</w:t>
      </w:r>
    </w:p>
    <w:p>
      <w:r>
        <w:t>Executar tarefas reais e registrar qualidade, latência, memória e consumo. A API do Ollama fornece contagens de tokens e tempos de execução para apoiar a medição. A documentação comprova a disponibilidade dessas métricas; os resultados no equipamento precisam ser produzidos pelo piloto.</w:t>
      </w:r>
      <w:r>
        <w:t xml:space="preserve"> </w:t>
      </w:r>
      <w:hyperlink r:id="rId21">
        <w:r>
          <w:rPr>
            <w:color w:val="175A82"/>
            <w:u w:val="single"/>
          </w:rPr>
          <w:t>[13]</w:t>
        </w:r>
      </w:hyperlink>
    </w:p>
    <w:p>
      <w:pPr>
        <w:pStyle w:val="Heading1"/>
      </w:pPr>
      <w:r>
        <w:t>Critérios para avaliar a adoção</w:t>
      </w:r>
    </w:p>
    <w:p>
      <w:r>
        <w:t>O piloto deve incluir explicação de código, geração de testes e correções delimitadas, com revisão das respostas por profissionais que conheçam as tarefas. Recomenda-se registrar o tempo até a solução ser aceita, a quantidade de retrabalho e o comportamento com solicitações simultâneas.</w:t>
      </w:r>
    </w:p>
    <w:p>
      <w:r>
        <w:t>A avaliação técnica deve relacionar esses resultados à latência, ocupação de memória e energia medida. A avaliação financeira deve considerar contratos efetivamente reduzidos, custos locais completos e produtividade observada. Esses registros permitem justificar a capacidade necessária e verificar se a adoção gera economia nas condições reais da LLM.</w:t>
      </w:r>
    </w:p>
    <w:p>
      <w:pPr>
        <w:pStyle w:val="Heading1"/>
      </w:pPr>
      <w:r>
        <w:t>Referências</w:t>
      </w:r>
    </w:p>
    <w:p>
      <w:r>
        <w:t>Fontes primárias consultadas em 24 de setembro de 2026. Os números entre colchetes ao longo do texto correspondem às referências abaixo. Os títulos e os endereços são clicáveis.</w:t>
      </w:r>
    </w:p>
    <w:p>
      <w:pPr>
        <w:keepNext/>
        <w:keepLines/>
        <w:spacing w:after="60"/>
      </w:pPr>
      <w:r>
        <w:rPr>
          <w:b/>
          <w:sz w:val="20"/>
        </w:rPr>
        <w:t xml:space="preserve">[1] QWEN. </w:t>
      </w:r>
      <w:hyperlink r:id="rId14">
        <w:r>
          <w:rPr>
            <w:color w:val="175A82"/>
            <w:u w:val="single"/>
            <w:sz w:val="20"/>
          </w:rPr>
          <w:t>Qwen2.5 Coder Technical Report</w:t>
        </w:r>
      </w:hyperlink>
      <w:r>
        <w:rPr>
          <w:sz w:val="20"/>
        </w:rPr>
        <w:t>. 2024. Tabela 16, resultados dos modelos Instruct.</w:t>
      </w:r>
    </w:p>
    <w:p>
      <w:pPr>
        <w:keepLines/>
        <w:spacing w:after="180" w:line="240" w:lineRule="auto"/>
      </w:pPr>
      <w:hyperlink r:id="rId14">
        <w:r>
          <w:rPr>
            <w:color w:val="175A82"/>
            <w:u w:val="single"/>
            <w:sz w:val="18"/>
          </w:rPr>
          <w:t>https://arxiv.org/html/2409.12186v3#S7.T16</w:t>
        </w:r>
      </w:hyperlink>
    </w:p>
    <w:p>
      <w:pPr>
        <w:keepNext/>
        <w:keepLines/>
        <w:spacing w:after="60"/>
      </w:pPr>
      <w:r>
        <w:rPr>
          <w:b/>
          <w:sz w:val="20"/>
        </w:rPr>
        <w:t xml:space="preserve">[2] OLLAMA. </w:t>
      </w:r>
      <w:hyperlink r:id="rId11">
        <w:r>
          <w:rPr>
            <w:color w:val="175A82"/>
            <w:u w:val="single"/>
            <w:sz w:val="20"/>
          </w:rPr>
          <w:t>Qwen2.5 Coder 14B Instruct Q4_K_M</w:t>
        </w:r>
      </w:hyperlink>
      <w:r>
        <w:rPr>
          <w:sz w:val="20"/>
        </w:rPr>
        <w:t>. Catálogo do modelo e tamanho do arquivo.</w:t>
      </w:r>
    </w:p>
    <w:p>
      <w:pPr>
        <w:keepLines/>
        <w:spacing w:after="180" w:line="240" w:lineRule="auto"/>
      </w:pPr>
      <w:hyperlink r:id="rId11">
        <w:r>
          <w:rPr>
            <w:color w:val="175A82"/>
            <w:u w:val="single"/>
            <w:sz w:val="18"/>
          </w:rPr>
          <w:t>https://ollama.com/library/qwen2.5-coder:14b-instruct-q4_K_M</w:t>
        </w:r>
      </w:hyperlink>
    </w:p>
    <w:p>
      <w:pPr>
        <w:keepNext/>
        <w:keepLines/>
        <w:spacing w:after="60"/>
      </w:pPr>
      <w:r>
        <w:rPr>
          <w:b/>
          <w:sz w:val="20"/>
        </w:rPr>
        <w:t xml:space="preserve">[3] OLLAMA. </w:t>
      </w:r>
      <w:hyperlink r:id="rId12">
        <w:r>
          <w:rPr>
            <w:color w:val="175A82"/>
            <w:u w:val="single"/>
            <w:sz w:val="20"/>
          </w:rPr>
          <w:t>Qwen2.5 Coder 32B</w:t>
        </w:r>
      </w:hyperlink>
      <w:r>
        <w:rPr>
          <w:sz w:val="20"/>
        </w:rPr>
        <w:t>. Catálogo da versão Q4_K_M e tamanho do arquivo.</w:t>
      </w:r>
    </w:p>
    <w:p>
      <w:pPr>
        <w:keepLines/>
        <w:spacing w:after="180" w:line="240" w:lineRule="auto"/>
      </w:pPr>
      <w:hyperlink r:id="rId12">
        <w:r>
          <w:rPr>
            <w:color w:val="175A82"/>
            <w:u w:val="single"/>
            <w:sz w:val="18"/>
          </w:rPr>
          <w:t>https://ollama.com/library/qwen2.5-coder:32b</w:t>
        </w:r>
      </w:hyperlink>
    </w:p>
    <w:p>
      <w:pPr>
        <w:keepNext/>
        <w:keepLines/>
        <w:spacing w:after="60"/>
      </w:pPr>
      <w:r>
        <w:rPr>
          <w:b/>
          <w:sz w:val="20"/>
        </w:rPr>
        <w:t xml:space="preserve">[4] QWEN. </w:t>
      </w:r>
      <w:hyperlink r:id="rId9">
        <w:r>
          <w:rPr>
            <w:color w:val="175A82"/>
            <w:u w:val="single"/>
            <w:sz w:val="20"/>
          </w:rPr>
          <w:t>Licença do Qwen2.5 Coder 14B Instruct</w:t>
        </w:r>
      </w:hyperlink>
      <w:r>
        <w:rPr>
          <w:sz w:val="20"/>
        </w:rPr>
        <w:t>. Apache License 2.0, repositório oficial.</w:t>
      </w:r>
    </w:p>
    <w:p>
      <w:pPr>
        <w:keepLines/>
        <w:spacing w:after="180" w:line="240" w:lineRule="auto"/>
      </w:pPr>
      <w:hyperlink r:id="rId9">
        <w:r>
          <w:rPr>
            <w:color w:val="175A82"/>
            <w:u w:val="single"/>
            <w:sz w:val="18"/>
          </w:rPr>
          <w:t>https://huggingface.co/Qwen/Qwen2.5-Coder-14B-Instruct/blob/main/LICENSE</w:t>
        </w:r>
      </w:hyperlink>
    </w:p>
    <w:p>
      <w:pPr>
        <w:keepNext/>
        <w:keepLines/>
        <w:spacing w:after="60"/>
      </w:pPr>
      <w:r>
        <w:rPr>
          <w:b/>
          <w:sz w:val="20"/>
        </w:rPr>
        <w:t xml:space="preserve">[5] OLLAMA. </w:t>
      </w:r>
      <w:hyperlink r:id="rId10">
        <w:r>
          <w:rPr>
            <w:color w:val="175A82"/>
            <w:u w:val="single"/>
            <w:sz w:val="20"/>
          </w:rPr>
          <w:t>Licença do Ollama</w:t>
        </w:r>
      </w:hyperlink>
      <w:r>
        <w:rPr>
          <w:sz w:val="20"/>
        </w:rPr>
        <w:t>. MIT License, repositório oficial.</w:t>
      </w:r>
    </w:p>
    <w:p>
      <w:pPr>
        <w:keepLines/>
        <w:spacing w:after="180" w:line="240" w:lineRule="auto"/>
      </w:pPr>
      <w:hyperlink r:id="rId10">
        <w:r>
          <w:rPr>
            <w:color w:val="175A82"/>
            <w:u w:val="single"/>
            <w:sz w:val="18"/>
          </w:rPr>
          <w:t>https://github.com/ollama/ollama/blob/main/LICENSE</w:t>
        </w:r>
      </w:hyperlink>
    </w:p>
    <w:p>
      <w:pPr>
        <w:keepNext/>
        <w:keepLines/>
        <w:spacing w:after="60"/>
      </w:pPr>
      <w:r>
        <w:rPr>
          <w:b/>
          <w:sz w:val="20"/>
        </w:rPr>
        <w:t xml:space="preserve">[6] NVIDIA. </w:t>
      </w:r>
      <w:hyperlink r:id="rId15">
        <w:r>
          <w:rPr>
            <w:color w:val="175A82"/>
            <w:u w:val="single"/>
            <w:sz w:val="20"/>
          </w:rPr>
          <w:t>NVIDIA System Management Interface</w:t>
        </w:r>
      </w:hyperlink>
      <w:r>
        <w:rPr>
          <w:sz w:val="20"/>
        </w:rPr>
        <w:t>. Documentação das leituras de energia e memória da GPU.</w:t>
      </w:r>
    </w:p>
    <w:p>
      <w:pPr>
        <w:keepLines/>
        <w:spacing w:after="180" w:line="240" w:lineRule="auto"/>
      </w:pPr>
      <w:hyperlink r:id="rId15">
        <w:r>
          <w:rPr>
            <w:color w:val="175A82"/>
            <w:u w:val="single"/>
            <w:sz w:val="18"/>
          </w:rPr>
          <w:t>https://docs.nvidia.com/deploy/nvidia-smi/index.html</w:t>
        </w:r>
      </w:hyperlink>
    </w:p>
    <w:p>
      <w:pPr>
        <w:keepNext/>
        <w:keepLines/>
        <w:spacing w:after="60"/>
      </w:pPr>
      <w:r>
        <w:rPr>
          <w:b/>
          <w:sz w:val="20"/>
        </w:rPr>
        <w:t xml:space="preserve">[7] ANEEL. </w:t>
      </w:r>
      <w:hyperlink r:id="rId16">
        <w:r>
          <w:rPr>
            <w:color w:val="175A82"/>
            <w:u w:val="single"/>
            <w:sz w:val="20"/>
          </w:rPr>
          <w:t>Tarifas e Informações Econômico Financeiras</w:t>
        </w:r>
      </w:hyperlink>
      <w:r>
        <w:rPr>
          <w:sz w:val="20"/>
        </w:rPr>
        <w:t>. Composição e limites dos indicadores tarifários publicados.</w:t>
      </w:r>
    </w:p>
    <w:p>
      <w:pPr>
        <w:keepLines/>
        <w:spacing w:after="180" w:line="240" w:lineRule="auto"/>
      </w:pPr>
      <w:hyperlink r:id="rId16">
        <w:r>
          <w:rPr>
            <w:color w:val="175A82"/>
            <w:u w:val="single"/>
            <w:sz w:val="18"/>
          </w:rPr>
          <w:t>https://www.gov.br/aneel/pt-br/centrais-de-conteudos/relatorios-e-indicadores/tarifas-e-informacoes-economico-financeiras</w:t>
        </w:r>
      </w:hyperlink>
    </w:p>
    <w:p>
      <w:pPr>
        <w:keepNext/>
        <w:keepLines/>
        <w:spacing w:after="60"/>
      </w:pPr>
      <w:r>
        <w:rPr>
          <w:b/>
          <w:sz w:val="20"/>
        </w:rPr>
        <w:t xml:space="preserve">[8] OLLAMA. </w:t>
      </w:r>
      <w:hyperlink r:id="rId17">
        <w:r>
          <w:rPr>
            <w:color w:val="175A82"/>
            <w:u w:val="single"/>
            <w:sz w:val="20"/>
          </w:rPr>
          <w:t>Hardware support</w:t>
        </w:r>
      </w:hyperlink>
      <w:r>
        <w:rPr>
          <w:sz w:val="20"/>
        </w:rPr>
        <w:t>. Compatibilidade e requisitos de GPUs e drivers.</w:t>
      </w:r>
    </w:p>
    <w:p>
      <w:pPr>
        <w:keepLines/>
        <w:spacing w:after="180" w:line="240" w:lineRule="auto"/>
      </w:pPr>
      <w:hyperlink r:id="rId17">
        <w:r>
          <w:rPr>
            <w:color w:val="175A82"/>
            <w:u w:val="single"/>
            <w:sz w:val="18"/>
          </w:rPr>
          <w:t>https://docs.ollama.com/gpu</w:t>
        </w:r>
      </w:hyperlink>
    </w:p>
    <w:p>
      <w:pPr>
        <w:keepNext/>
        <w:keepLines/>
        <w:spacing w:after="60"/>
      </w:pPr>
      <w:r>
        <w:rPr>
          <w:b/>
          <w:sz w:val="20"/>
        </w:rPr>
        <w:t xml:space="preserve">[9] OLLAMA. </w:t>
      </w:r>
      <w:hyperlink r:id="rId18">
        <w:r>
          <w:rPr>
            <w:color w:val="175A82"/>
            <w:u w:val="single"/>
            <w:sz w:val="20"/>
          </w:rPr>
          <w:t>Linux</w:t>
        </w:r>
      </w:hyperlink>
      <w:r>
        <w:rPr>
          <w:sz w:val="20"/>
        </w:rPr>
        <w:t>. Instalação, serviço, atualização e registros de funcionamento.</w:t>
      </w:r>
    </w:p>
    <w:p>
      <w:pPr>
        <w:keepLines/>
        <w:spacing w:after="180" w:line="240" w:lineRule="auto"/>
      </w:pPr>
      <w:hyperlink r:id="rId18">
        <w:r>
          <w:rPr>
            <w:color w:val="175A82"/>
            <w:u w:val="single"/>
            <w:sz w:val="18"/>
          </w:rPr>
          <w:t>https://docs.ollama.com/linux</w:t>
        </w:r>
      </w:hyperlink>
    </w:p>
    <w:p>
      <w:pPr>
        <w:keepNext/>
        <w:keepLines/>
        <w:spacing w:after="60"/>
      </w:pPr>
      <w:r>
        <w:rPr>
          <w:b/>
          <w:sz w:val="20"/>
        </w:rPr>
        <w:t xml:space="preserve">[10] OLLAMA. </w:t>
      </w:r>
      <w:hyperlink r:id="rId13">
        <w:r>
          <w:rPr>
            <w:color w:val="175A82"/>
            <w:u w:val="single"/>
            <w:sz w:val="20"/>
          </w:rPr>
          <w:t>Frequently asked questions</w:t>
        </w:r>
      </w:hyperlink>
      <w:r>
        <w:rPr>
          <w:sz w:val="20"/>
        </w:rPr>
        <w:t>. Memória, contexto, concorrência, configuração e operação local.</w:t>
      </w:r>
    </w:p>
    <w:p>
      <w:pPr>
        <w:keepLines/>
        <w:spacing w:after="180" w:line="240" w:lineRule="auto"/>
      </w:pPr>
      <w:hyperlink r:id="rId13">
        <w:r>
          <w:rPr>
            <w:color w:val="175A82"/>
            <w:u w:val="single"/>
            <w:sz w:val="18"/>
          </w:rPr>
          <w:t>https://docs.ollama.com/faq</w:t>
        </w:r>
      </w:hyperlink>
    </w:p>
    <w:p>
      <w:pPr>
        <w:keepNext/>
        <w:keepLines/>
        <w:spacing w:after="60"/>
      </w:pPr>
      <w:r>
        <w:rPr>
          <w:b/>
          <w:sz w:val="20"/>
        </w:rPr>
        <w:t xml:space="preserve">[11] OLLAMA. </w:t>
      </w:r>
      <w:hyperlink r:id="rId19">
        <w:r>
          <w:rPr>
            <w:color w:val="175A82"/>
            <w:u w:val="single"/>
            <w:sz w:val="20"/>
          </w:rPr>
          <w:t>Authentication</w:t>
        </w:r>
      </w:hyperlink>
      <w:r>
        <w:rPr>
          <w:sz w:val="20"/>
        </w:rPr>
        <w:t>. Autenticação da API local e dos serviços em nuvem.</w:t>
      </w:r>
    </w:p>
    <w:p>
      <w:pPr>
        <w:keepLines/>
        <w:spacing w:after="180" w:line="240" w:lineRule="auto"/>
      </w:pPr>
      <w:hyperlink r:id="rId19">
        <w:r>
          <w:rPr>
            <w:color w:val="175A82"/>
            <w:u w:val="single"/>
            <w:sz w:val="18"/>
          </w:rPr>
          <w:t>https://docs.ollama.com/api/authentication</w:t>
        </w:r>
      </w:hyperlink>
    </w:p>
    <w:p>
      <w:pPr>
        <w:keepNext/>
        <w:keepLines/>
        <w:spacing w:after="60"/>
      </w:pPr>
      <w:r>
        <w:rPr>
          <w:b/>
          <w:sz w:val="20"/>
        </w:rPr>
        <w:t xml:space="preserve">[12] CONTINUE. </w:t>
      </w:r>
      <w:hyperlink r:id="rId20">
        <w:r>
          <w:rPr>
            <w:color w:val="175A82"/>
            <w:u w:val="single"/>
            <w:sz w:val="20"/>
          </w:rPr>
          <w:t>How to Configure Ollama with Continue</w:t>
        </w:r>
      </w:hyperlink>
      <w:r>
        <w:rPr>
          <w:sz w:val="20"/>
        </w:rPr>
        <w:t>. Configuração do provedor, endereço do servidor e contexto.</w:t>
      </w:r>
    </w:p>
    <w:p>
      <w:pPr>
        <w:keepLines/>
        <w:spacing w:after="180" w:line="240" w:lineRule="auto"/>
      </w:pPr>
      <w:hyperlink r:id="rId20">
        <w:r>
          <w:rPr>
            <w:color w:val="175A82"/>
            <w:u w:val="single"/>
            <w:sz w:val="18"/>
          </w:rPr>
          <w:t>https://docs.continue.dev/customize/model-providers/top-level/ollama</w:t>
        </w:r>
      </w:hyperlink>
    </w:p>
    <w:p>
      <w:pPr>
        <w:keepNext/>
        <w:keepLines/>
        <w:spacing w:after="60"/>
      </w:pPr>
      <w:r>
        <w:rPr>
          <w:b/>
          <w:sz w:val="20"/>
        </w:rPr>
        <w:t xml:space="preserve">[13] OLLAMA. </w:t>
      </w:r>
      <w:hyperlink r:id="rId21">
        <w:r>
          <w:rPr>
            <w:color w:val="175A82"/>
            <w:u w:val="single"/>
            <w:sz w:val="20"/>
          </w:rPr>
          <w:t>Usage</w:t>
        </w:r>
      </w:hyperlink>
      <w:r>
        <w:rPr>
          <w:sz w:val="20"/>
        </w:rPr>
        <w:t>. Métricas de duração e contagem de tokens na API.</w:t>
      </w:r>
    </w:p>
    <w:p>
      <w:pPr>
        <w:keepLines/>
        <w:spacing w:after="180" w:line="240" w:lineRule="auto"/>
      </w:pPr>
      <w:hyperlink r:id="rId21">
        <w:r>
          <w:rPr>
            <w:color w:val="175A82"/>
            <w:u w:val="single"/>
            <w:sz w:val="18"/>
          </w:rPr>
          <w:t>https://docs.ollama.com/api/usage</w:t>
        </w:r>
      </w:hyperlink>
    </w:p>
    <w:sectPr w:rsidR="00FC693F" w:rsidRPr="0006063C" w:rsidSect="00034616">
      <w:footerReference w:type="default" r:id="rId22"/>
      <w:pgSz w:w="12240" w:h="15840"/>
      <w:pgMar w:top="1037" w:right="1152" w:bottom="1037" w:left="1152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4" w:lineRule="auto" w:after="120"/>
    </w:pPr>
    <w:rPr>
      <w:rFonts w:ascii="Arial" w:hAnsi="Arial" w:eastAsia="Arial"/>
      <w:color w:val="000000"/>
      <w:sz w:val="22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huggingface.co/Qwen/Qwen2.5-Coder-14B-Instruct/blob/main/LICENSE" TargetMode="External"/><Relationship Id="rId10" Type="http://schemas.openxmlformats.org/officeDocument/2006/relationships/hyperlink" Target="https://github.com/ollama/ollama/blob/main/LICENSE" TargetMode="External"/><Relationship Id="rId11" Type="http://schemas.openxmlformats.org/officeDocument/2006/relationships/hyperlink" Target="https://ollama.com/library/qwen2.5-coder:14b-instruct-q4_K_M" TargetMode="External"/><Relationship Id="rId12" Type="http://schemas.openxmlformats.org/officeDocument/2006/relationships/hyperlink" Target="https://ollama.com/library/qwen2.5-coder:32b" TargetMode="External"/><Relationship Id="rId13" Type="http://schemas.openxmlformats.org/officeDocument/2006/relationships/hyperlink" Target="https://docs.ollama.com/faq" TargetMode="External"/><Relationship Id="rId14" Type="http://schemas.openxmlformats.org/officeDocument/2006/relationships/hyperlink" Target="https://arxiv.org/html/2409.12186v3#S7.T16" TargetMode="External"/><Relationship Id="rId15" Type="http://schemas.openxmlformats.org/officeDocument/2006/relationships/hyperlink" Target="https://docs.nvidia.com/deploy/nvidia-smi/index.html" TargetMode="External"/><Relationship Id="rId16" Type="http://schemas.openxmlformats.org/officeDocument/2006/relationships/hyperlink" Target="https://www.gov.br/aneel/pt-br/centrais-de-conteudos/relatorios-e-indicadores/tarifas-e-informacoes-economico-financeiras" TargetMode="External"/><Relationship Id="rId17" Type="http://schemas.openxmlformats.org/officeDocument/2006/relationships/hyperlink" Target="https://docs.ollama.com/gpu" TargetMode="External"/><Relationship Id="rId18" Type="http://schemas.openxmlformats.org/officeDocument/2006/relationships/hyperlink" Target="https://docs.ollama.com/linux" TargetMode="External"/><Relationship Id="rId19" Type="http://schemas.openxmlformats.org/officeDocument/2006/relationships/hyperlink" Target="https://docs.ollama.com/api/authentication" TargetMode="External"/><Relationship Id="rId20" Type="http://schemas.openxmlformats.org/officeDocument/2006/relationships/hyperlink" Target="https://docs.continue.dev/customize/model-providers/top-level/ollama" TargetMode="External"/><Relationship Id="rId21" Type="http://schemas.openxmlformats.org/officeDocument/2006/relationships/hyperlink" Target="https://docs.ollama.com/api/usage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Custos e instalação da solução LLM</dc:title>
  <dc:subject>Levantamento técnico e financeiro para implantação local de Qwen2.5-Coder 14B com Ollama</dc:subject>
  <dc:creator/>
  <cp:keywords/>
  <dc:description>generated by python-docx</dc:description>
  <cp:lastModifiedBy/>
  <cp:revision>1</cp:revision>
  <dcterms:created xsi:type="dcterms:W3CDTF">2026-09-24T00:00:00Z</dcterms:created>
  <dcterms:modified xsi:type="dcterms:W3CDTF">2026-09-24T00:00:00Z</dcterms:modified>
  <cp:category/>
</cp:coreProperties>
</file>