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Pipeline</w:t>
      </w:r>
      <w:r>
        <w:t xml:space="preserve"> </w:t>
      </w:r>
      <w:r>
        <w:t xml:space="preserve">de</w:t>
      </w:r>
      <w:r>
        <w:t xml:space="preserve"> </w:t>
      </w:r>
      <w:r>
        <w:t xml:space="preserve">Etiquetado</w:t>
      </w:r>
      <w:r>
        <w:t xml:space="preserve"> </w:t>
      </w:r>
      <w:r>
        <w:t xml:space="preserve">ICD-11</w:t>
      </w:r>
    </w:p>
    <w:p>
      <w:pPr>
        <w:pStyle w:val="Subtitle"/>
      </w:pPr>
      <w:r>
        <w:t xml:space="preserve">Estructura</w:t>
      </w:r>
      <w:r>
        <w:t xml:space="preserve"> </w:t>
      </w:r>
      <w:r>
        <w:t xml:space="preserve">y</w:t>
      </w:r>
      <w:r>
        <w:t xml:space="preserve"> </w:t>
      </w:r>
      <w:r>
        <w:t xml:space="preserve">flujo</w:t>
      </w:r>
      <w:r>
        <w:t xml:space="preserve"> </w:t>
      </w:r>
      <w:r>
        <w:t xml:space="preserve">de</w:t>
      </w:r>
      <w:r>
        <w:t xml:space="preserve"> </w:t>
      </w:r>
      <w:r>
        <w:t xml:space="preserve">icd-experiment.py</w:t>
      </w:r>
      <w:r>
        <w:t xml:space="preserve"> </w:t>
      </w:r>
      <w:r>
        <w:t xml:space="preserve">e</w:t>
      </w:r>
      <w:r>
        <w:t xml:space="preserve"> </w:t>
      </w:r>
      <w:r>
        <w:t xml:space="preserve">icd11-lookup.py</w:t>
      </w:r>
    </w:p>
    <w:p>
      <w:pPr>
        <w:pStyle w:val="Date"/>
      </w:pPr>
      <w:r>
        <w:t xml:space="preserve">2026-07-21</w:t>
      </w:r>
    </w:p>
    <w:bookmarkStart w:id="20" w:name="visión-general"/>
    <w:p>
      <w:pPr>
        <w:pStyle w:val="Heading1"/>
      </w:pPr>
      <w:r>
        <w:t xml:space="preserve">Visión general</w:t>
      </w:r>
    </w:p>
    <w:p>
      <w:pPr>
        <w:pStyle w:val="FirstParagraph"/>
      </w:pPr>
      <w:r>
        <w:t xml:space="preserve">El pipeline opera en</w:t>
      </w:r>
      <w:r>
        <w:t xml:space="preserve"> </w:t>
      </w:r>
      <w:r>
        <w:rPr>
          <w:bCs/>
          <w:b/>
        </w:rPr>
        <w:t xml:space="preserve">dos fases secuenciales</w:t>
      </w:r>
      <w:r>
        <w:t xml:space="preserve">, cada una implementada en un script independiente. El único artefacto de intercambio es el CSV del dataset, que ambos scripts modifican</w:t>
      </w:r>
      <w:r>
        <w:t xml:space="preserve"> </w:t>
      </w:r>
      <w:r>
        <w:rPr>
          <w:bCs/>
          <w:b/>
        </w:rPr>
        <w:t xml:space="preserve">in-place</w:t>
      </w:r>
      <w:r>
        <w:t xml:space="preserve">.</w:t>
      </w:r>
    </w:p>
    <w:p>
      <w:r>
        <w:pict>
          <v:rect style="width:0;height:1.5pt" o:hralign="center" o:hrstd="t" o:hr="t"/>
        </w:pict>
      </w:r>
    </w:p>
    <w:p>
      <w:pPr>
        <w:pStyle w:val="SourceCode"/>
      </w:pPr>
      <w:r>
        <w:rPr>
          <w:rStyle w:val="VerbatimChar"/>
        </w:rPr>
        <w:t xml:space="preserve">                  ┌─────────────────────┐</w:t>
      </w:r>
      <w:r>
        <w:br/>
      </w:r>
      <w:r>
        <w:rPr>
          <w:rStyle w:val="VerbatimChar"/>
        </w:rPr>
        <w:t xml:space="preserve">   dataset-runN   │                     │   icd11_code</w:t>
      </w:r>
      <w:r>
        <w:br/>
      </w:r>
      <w:r>
        <w:rPr>
          <w:rStyle w:val="VerbatimChar"/>
        </w:rPr>
        <w:t xml:space="preserve">   (diagnosis_es) │  icd-experiment.py  │   core_diagnosis</w:t>
      </w:r>
      <w:r>
        <w:br/>
      </w:r>
      <w:r>
        <w:rPr>
          <w:rStyle w:val="VerbatimChar"/>
        </w:rPr>
        <w:t xml:space="preserve">   (diagnosis_en) │                     │   match_type</w:t>
      </w:r>
      <w:r>
        <w:br/>
      </w:r>
      <w:r>
        <w:rPr>
          <w:rStyle w:val="VerbatimChar"/>
        </w:rPr>
        <w:t xml:space="preserve">                  └─────────────────────┘   match_source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icd11_lookup</w:t>
      </w:r>
      <w:r>
        <w:br/>
      </w:r>
      <w:r>
        <w:rPr>
          <w:rStyle w:val="VerbatimChar"/>
        </w:rPr>
        <w:t xml:space="preserve">                  │  icd11-lookup.py    │   consistency</w:t>
      </w:r>
      <w:r>
        <w:br/>
      </w:r>
      <w:r>
        <w:rPr>
          <w:rStyle w:val="VerbatimChar"/>
        </w:rPr>
        <w:t xml:space="preserve">                  │                     │</w:t>
      </w:r>
      <w:r>
        <w:br/>
      </w:r>
      <w:r>
        <w:rPr>
          <w:rStyle w:val="VerbatimChar"/>
        </w:rPr>
        <w:t xml:space="preserve">                  └─────────────────────┘</w:t>
      </w:r>
    </w:p>
    <w:p>
      <w:r>
        <w:pict>
          <v:rect style="width:0;height:1.5pt" o:hralign="center" o:hrstd="t" o:hr="t"/>
        </w:pict>
      </w:r>
    </w:p>
    <w:bookmarkEnd w:id="20"/>
    <w:bookmarkStart w:id="32" w:name="X0ed11bd004947bbc0cad82a29593bc84a8fe431"/>
    <w:p>
      <w:pPr>
        <w:pStyle w:val="Heading1"/>
      </w:pPr>
      <w:r>
        <w:rPr>
          <w:rStyle w:val="VerbatimChar"/>
        </w:rPr>
        <w:t xml:space="preserve">icd-experiment.py</w:t>
      </w:r>
      <w:r>
        <w:t xml:space="preserve"> </w:t>
      </w:r>
      <w:r>
        <w:t xml:space="preserve">— Fase 1: Asignación de código</w:t>
      </w:r>
    </w:p>
    <w:bookmarkStart w:id="21" w:name="recursos-y-dependencias-externas"/>
    <w:p>
      <w:pPr>
        <w:pStyle w:val="Heading2"/>
      </w:pPr>
      <w:r>
        <w:t xml:space="preserve">Recursos y dependencias externas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Recurso</w:t>
            </w:r>
          </w:p>
        </w:tc>
        <w:tc>
          <w:p>
            <w:pPr>
              <w:pStyle w:val="Compact"/>
              <w:jc w:val="left"/>
            </w:pPr>
            <w:r>
              <w:t xml:space="preserve">Función</w:t>
            </w:r>
          </w:p>
        </w:tc>
      </w:tr>
      <w:tr>
        <w:tc>
          <w:p>
            <w:pPr>
              <w:pStyle w:val="Compact"/>
              <w:jc w:val="left"/>
            </w:pPr>
            <w:r>
              <w:rPr>
                <w:rStyle w:val="VerbatimChar"/>
              </w:rPr>
              <w:t xml:space="preserve">en_product1.json</w:t>
            </w:r>
            <w:r>
              <w:t xml:space="preserve"> </w:t>
            </w:r>
            <w:r>
              <w:t xml:space="preserve">(Orphanet)</w:t>
            </w:r>
          </w:p>
        </w:tc>
        <w:tc>
          <w:p>
            <w:pPr>
              <w:pStyle w:val="Compact"/>
              <w:jc w:val="left"/>
            </w:pPr>
            <w:r>
              <w:t xml:space="preserve">KGraph: nombre/sinónimo → ICD-11</w:t>
            </w:r>
          </w:p>
        </w:tc>
      </w:tr>
      <w:tr>
        <w:tc>
          <w:p>
            <w:pPr>
              <w:pStyle w:val="Compact"/>
              <w:jc w:val="left"/>
            </w:pPr>
            <w:r>
              <w:t xml:space="preserve">WHO ICD-11 API</w:t>
            </w:r>
            <w:r>
              <w:t xml:space="preserve"> </w:t>
            </w:r>
            <w:r>
              <w:rPr>
                <w:rStyle w:val="VerbatimChar"/>
              </w:rPr>
              <w:t xml:space="preserve">/search</w:t>
            </w:r>
          </w:p>
        </w:tc>
        <w:tc>
          <w:p>
            <w:pPr>
              <w:pStyle w:val="Compact"/>
              <w:jc w:val="left"/>
            </w:pPr>
            <w:r>
              <w:t xml:space="preserve">Fallback semántico con flexisearch</w:t>
            </w:r>
          </w:p>
        </w:tc>
      </w:tr>
      <w:tr>
        <w:tc>
          <w:p>
            <w:pPr>
              <w:pStyle w:val="Compact"/>
              <w:jc w:val="left"/>
            </w:pPr>
            <w:r>
              <w:rPr>
                <w:rStyle w:val="VerbatimChar"/>
              </w:rPr>
              <w:t xml:space="preserve">nf_dictionary.json</w:t>
            </w:r>
          </w:p>
        </w:tc>
        <w:tc>
          <w:p>
            <w:pPr>
              <w:pStyle w:val="Compact"/>
              <w:jc w:val="left"/>
            </w:pPr>
            <w:r>
              <w:t xml:space="preserve">Persistencia de casos no resueltos (NF-XXXX)</w:t>
            </w:r>
          </w:p>
        </w:tc>
      </w:tr>
      <w:tr>
        <w:tc>
          <w:p>
            <w:pPr>
              <w:pStyle w:val="Compact"/>
              <w:jc w:val="left"/>
            </w:pPr>
            <w:r>
              <w:t xml:space="preserve">LM Studio — medgemma-27b-it</w:t>
            </w:r>
          </w:p>
        </w:tc>
        <w:tc>
          <w:p>
            <w:pPr>
              <w:pStyle w:val="Compact"/>
              <w:jc w:val="left"/>
            </w:pPr>
            <w:r>
              <w:t xml:space="preserve">Identificación de enfermedad + validación semántica</w:t>
            </w:r>
          </w:p>
        </w:tc>
      </w:tr>
    </w:tbl>
    <w:bookmarkEnd w:id="21"/>
    <w:bookmarkStart w:id="22" w:name="por-qué-se-trabaja-en-inglés"/>
    <w:p>
      <w:pPr>
        <w:pStyle w:val="Heading2"/>
      </w:pPr>
      <w:r>
        <w:t xml:space="preserve">Por qué se trabaja en inglés</w:t>
      </w:r>
    </w:p>
    <w:p>
      <w:pPr>
        <w:numPr>
          <w:ilvl w:val="0"/>
          <w:numId w:val="1001"/>
        </w:numPr>
        <w:pStyle w:val="Compact"/>
      </w:pPr>
      <w:r>
        <w:t xml:space="preserve">La API ICD-11 tiene más términos y sinónimos indexados en inglés.</w:t>
      </w:r>
    </w:p>
    <w:p>
      <w:pPr>
        <w:numPr>
          <w:ilvl w:val="0"/>
          <w:numId w:val="1001"/>
        </w:numPr>
        <w:pStyle w:val="Compact"/>
      </w:pPr>
      <w:r>
        <w:rPr>
          <w:rStyle w:val="VerbatimChar"/>
        </w:rPr>
        <w:t xml:space="preserve">en_product1.json</w:t>
      </w:r>
      <w:r>
        <w:t xml:space="preserve"> </w:t>
      </w:r>
      <w:r>
        <w:t xml:space="preserve">cubre 11 645 trastornos (6 553 con ICD-11) frente a 11 456/6 143 de la versión española.</w:t>
      </w:r>
    </w:p>
    <w:p>
      <w:pPr>
        <w:numPr>
          <w:ilvl w:val="0"/>
          <w:numId w:val="1001"/>
        </w:numPr>
        <w:pStyle w:val="Compact"/>
      </w:pPr>
      <w:r>
        <w:rPr>
          <w:rStyle w:val="VerbatimChar"/>
        </w:rPr>
        <w:t xml:space="preserve">diagnosis_es</w:t>
      </w:r>
      <w:r>
        <w:t xml:space="preserve"> </w:t>
      </w:r>
      <w:r>
        <w:t xml:space="preserve">se conserva solo para lectura humana y para la evaluación de coherencia posterior.</w:t>
      </w:r>
    </w:p>
    <w:bookmarkEnd w:id="22"/>
    <w:bookmarkStart w:id="23" w:name="construcción-del-kgraph-orphanet"/>
    <w:p>
      <w:pPr>
        <w:pStyle w:val="Heading2"/>
      </w:pPr>
      <w:r>
        <w:t xml:space="preserve">Construcción del KGraph (Orphanet)</w:t>
      </w:r>
    </w:p>
    <w:p>
      <w:pPr>
        <w:pStyle w:val="FirstParagraph"/>
      </w:pPr>
      <w:r>
        <w:t xml:space="preserve">Cada nodo almacena</w:t>
      </w:r>
      <w:r>
        <w:t xml:space="preserve"> </w:t>
      </w:r>
      <w:r>
        <w:rPr>
          <w:rStyle w:val="VerbatimChar"/>
        </w:rPr>
        <w:t xml:space="preserve">canonical_name</w:t>
      </w:r>
      <w:r>
        <w:t xml:space="preserve">,</w:t>
      </w:r>
      <w:r>
        <w:t xml:space="preserve"> </w:t>
      </w:r>
      <w:r>
        <w:rPr>
          <w:rStyle w:val="VerbatimChar"/>
        </w:rPr>
        <w:t xml:space="preserve">orpha_code</w:t>
      </w:r>
      <w:r>
        <w:t xml:space="preserve"> </w:t>
      </w:r>
      <w:r>
        <w:t xml:space="preserve">e</w:t>
      </w:r>
      <w:r>
        <w:t xml:space="preserve"> </w:t>
      </w:r>
      <w:r>
        <w:rPr>
          <w:rStyle w:val="VerbatimChar"/>
        </w:rPr>
        <w:t xml:space="preserve">icd11_codes</w:t>
      </w:r>
      <w:r>
        <w:t xml:space="preserve">. Las claves del grafo son</w:t>
      </w:r>
      <w:r>
        <w:t xml:space="preserve"> </w:t>
      </w:r>
      <w:r>
        <w:rPr>
          <w:bCs/>
          <w:b/>
        </w:rPr>
        <w:t xml:space="preserve">nombres normalizados</w:t>
      </w:r>
      <w:r>
        <w:t xml:space="preserve"> </w:t>
      </w:r>
      <w:r>
        <w:t xml:space="preserve">(minúsculas, guiones como espacios, espacios colapsados). El nombre canónico tiene prioridad sobre los sinónimos: un sinónimo solo se indexa si su clave aún no existe.</w:t>
      </w:r>
    </w:p>
    <w:bookmarkEnd w:id="23"/>
    <w:bookmarkStart w:id="30" w:name="cascada-de-matching"/>
    <w:p>
      <w:pPr>
        <w:pStyle w:val="Heading2"/>
      </w:pPr>
      <w:r>
        <w:t xml:space="preserve">Cascada de matching</w:t>
      </w:r>
    </w:p>
    <w:p>
      <w:pPr>
        <w:pStyle w:val="FirstParagraph"/>
      </w:pPr>
      <w:r>
        <w:t xml:space="preserve">La cascada opera íntegramente sobre</w:t>
      </w:r>
      <w:r>
        <w:t xml:space="preserve"> </w:t>
      </w:r>
      <w:r>
        <w:rPr>
          <w:rStyle w:val="VerbatimChar"/>
        </w:rPr>
        <w:t xml:space="preserve">diagnosis_en</w:t>
      </w:r>
      <w:r>
        <w:t xml:space="preserve">. Cada paso prueba</w:t>
      </w:r>
      <w:r>
        <w:t xml:space="preserve"> </w:t>
      </w:r>
      <w:r>
        <w:rPr>
          <w:bCs/>
          <w:b/>
        </w:rPr>
        <w:t xml:space="preserve">primero la frase completa</w:t>
      </w:r>
      <w:r>
        <w:t xml:space="preserve"> </w:t>
      </w:r>
      <w:r>
        <w:t xml:space="preserve">y después el nombre estándar identificado por el LLM (</w:t>
      </w:r>
      <w:r>
        <w:rPr>
          <w:rStyle w:val="VerbatimChar"/>
        </w:rPr>
        <w:t xml:space="preserve">core_diagnosis</w:t>
      </w:r>
      <w:r>
        <w:t xml:space="preserve">), porque la frase completa es más específica y la causa puede determinar la categoría ICD-11 correcta.</w:t>
      </w:r>
    </w:p>
    <w:bookmarkStart w:id="24" w:name="X3d5168dbfc28dd50c0bffb4cbdf6d35d03bec14"/>
    <w:p>
      <w:pPr>
        <w:pStyle w:val="Heading3"/>
      </w:pPr>
      <w:r>
        <w:t xml:space="preserve">Paso 0 — Identificación de la enfermedad (LLM)</w:t>
      </w:r>
    </w:p>
    <w:p>
      <w:pPr>
        <w:pStyle w:val="FirstParagraph"/>
      </w:pPr>
      <w:r>
        <w:t xml:space="preserve">Antes de cualquier búsqueda, el LLM recibe</w:t>
      </w:r>
      <w:r>
        <w:t xml:space="preserve"> </w:t>
      </w:r>
      <w:r>
        <w:rPr>
          <w:rStyle w:val="VerbatimChar"/>
        </w:rPr>
        <w:t xml:space="preserve">diagnosis_en</w:t>
      </w:r>
      <w:r>
        <w:t xml:space="preserve"> </w:t>
      </w:r>
      <w:r>
        <w:t xml:space="preserve">y responde con el</w:t>
      </w:r>
      <w:r>
        <w:t xml:space="preserve"> </w:t>
      </w:r>
      <w:r>
        <w:rPr>
          <w:bCs/>
          <w:b/>
        </w:rPr>
        <w:t xml:space="preserve">nombre estándar de la enfermedad</w:t>
      </w:r>
      <w:r>
        <w:t xml:space="preserve"> </w:t>
      </w:r>
      <w:r>
        <w:t xml:space="preserve">tal como aparecería en una clasificación médica. No es un recorte de texto sino una identificación clínica:</w:t>
      </w:r>
    </w:p>
    <w:p>
      <w:pPr>
        <w:pStyle w:val="BlockText"/>
      </w:pPr>
      <w:r>
        <w:rPr>
          <w:rStyle w:val="VerbatimChar"/>
        </w:rPr>
        <w:t xml:space="preserve">"Cryptococcus neoformans meningoencephalitis"</w:t>
      </w:r>
      <w:r>
        <w:t xml:space="preserve"> </w:t>
      </w:r>
      <w:r>
        <w:t xml:space="preserve">→</w:t>
      </w:r>
      <w:r>
        <w:t xml:space="preserve"> </w:t>
      </w:r>
      <w:r>
        <w:rPr>
          <w:rStyle w:val="VerbatimChar"/>
        </w:rPr>
        <w:t xml:space="preserve">"Cryptococcosis"</w:t>
      </w:r>
    </w:p>
    <w:p>
      <w:pPr>
        <w:pStyle w:val="FirstParagraph"/>
      </w:pPr>
      <w:r>
        <w:t xml:space="preserve">Si el LLM devuelve el mismo término (ya era el nombre canónico), la bandera</w:t>
      </w:r>
      <w:r>
        <w:t xml:space="preserve"> </w:t>
      </w:r>
      <w:r>
        <w:rPr>
          <w:rStyle w:val="VerbatimChar"/>
        </w:rPr>
        <w:t xml:space="preserve">has_core</w:t>
      </w:r>
      <w:r>
        <w:t xml:space="preserve"> </w:t>
      </w:r>
      <w:r>
        <w:t xml:space="preserve">queda en</w:t>
      </w:r>
      <w:r>
        <w:t xml:space="preserve"> </w:t>
      </w:r>
      <w:r>
        <w:rPr>
          <w:rStyle w:val="VerbatimChar"/>
        </w:rPr>
        <w:t xml:space="preserve">False</w:t>
      </w:r>
      <w:r>
        <w:t xml:space="preserve"> </w:t>
      </w:r>
      <w:r>
        <w:t xml:space="preserve">y los pasos siguientes solo prueban la frase completa.</w:t>
      </w:r>
    </w:p>
    <w:bookmarkEnd w:id="24"/>
    <w:bookmarkStart w:id="25" w:name="paso-1-caché-en-memoria"/>
    <w:p>
      <w:pPr>
        <w:pStyle w:val="Heading3"/>
      </w:pPr>
      <w:r>
        <w:t xml:space="preserve">Paso 1 — Caché en memoria</w:t>
      </w:r>
    </w:p>
    <w:p>
      <w:pPr>
        <w:pStyle w:val="FirstParagraph"/>
      </w:pPr>
      <w:r>
        <w:t xml:space="preserve">Evita recomputar el mismo diagnóstico si aparece varias veces en el CSV.</w:t>
      </w:r>
    </w:p>
    <w:bookmarkEnd w:id="25"/>
    <w:bookmarkStart w:id="26" w:name="paso-2-match-exacto-en-kgraph"/>
    <w:p>
      <w:pPr>
        <w:pStyle w:val="Heading3"/>
      </w:pPr>
      <w:r>
        <w:t xml:space="preserve">Paso 2 — Match exacto en KGraph</w:t>
      </w:r>
    </w:p>
    <w:p>
      <w:pPr>
        <w:pStyle w:val="FirstParagraph"/>
      </w:pPr>
      <w:r>
        <w:t xml:space="preserve">Busca la clave normalizada en el diccionario. Si hay nodo pero sin ICD-11 asociado, continúa al siguiente paso.</w:t>
      </w:r>
    </w:p>
    <w:p>
      <w:pPr>
        <w:numPr>
          <w:ilvl w:val="0"/>
          <w:numId w:val="1002"/>
        </w:numPr>
        <w:pStyle w:val="Compact"/>
      </w:pPr>
      <w:r>
        <w:t xml:space="preserve">Si resuelve con frase completa →</w:t>
      </w:r>
      <w:r>
        <w:t xml:space="preserve"> </w:t>
      </w:r>
      <w:r>
        <w:rPr>
          <w:rStyle w:val="VerbatimChar"/>
        </w:rPr>
        <w:t xml:space="preserve">match_type = exact_complete</w:t>
      </w:r>
    </w:p>
    <w:p>
      <w:pPr>
        <w:numPr>
          <w:ilvl w:val="0"/>
          <w:numId w:val="1002"/>
        </w:numPr>
        <w:pStyle w:val="Compact"/>
      </w:pPr>
      <w:r>
        <w:t xml:space="preserve">Si resuelve con nombre estándar →</w:t>
      </w:r>
      <w:r>
        <w:t xml:space="preserve"> </w:t>
      </w:r>
      <w:r>
        <w:rPr>
          <w:rStyle w:val="VerbatimChar"/>
        </w:rPr>
        <w:t xml:space="preserve">match_type = exact_core</w:t>
      </w:r>
    </w:p>
    <w:bookmarkEnd w:id="26"/>
    <w:bookmarkStart w:id="27" w:name="Xed14ce3f82bbf54657d1311ff561c1fc0d78269"/>
    <w:p>
      <w:pPr>
        <w:pStyle w:val="Heading3"/>
      </w:pPr>
      <w:r>
        <w:t xml:space="preserve">Paso 3 — Match fuzzy en KGraph + validación LLM</w:t>
      </w:r>
    </w:p>
    <w:p>
      <w:pPr>
        <w:pStyle w:val="FirstParagraph"/>
      </w:pPr>
      <w:r>
        <w:t xml:space="preserve">Usa</w:t>
      </w:r>
      <w:r>
        <w:t xml:space="preserve"> </w:t>
      </w:r>
      <w:r>
        <w:rPr>
          <w:rStyle w:val="VerbatimChar"/>
        </w:rPr>
        <w:t xml:space="preserve">rapidfuzz.token_sort_ratio</w:t>
      </w:r>
      <w:r>
        <w:t xml:space="preserve"> </w:t>
      </w:r>
      <w:r>
        <w:t xml:space="preserve">con umbral ≥ 85. El candidato recuperado se valida semánticamente por el LLM</w:t>
      </w:r>
      <w:r>
        <w:t xml:space="preserve"> </w:t>
      </w:r>
      <w:r>
        <w:rPr>
          <w:bCs/>
          <w:b/>
        </w:rPr>
        <w:t xml:space="preserve">siempre contra la frase completa</w:t>
      </w:r>
      <w:r>
        <w:t xml:space="preserve">, aunque el candidato haya venido del nombre estándar.</w:t>
      </w:r>
    </w:p>
    <w:p>
      <w:pPr>
        <w:numPr>
          <w:ilvl w:val="0"/>
          <w:numId w:val="1003"/>
        </w:numPr>
        <w:pStyle w:val="Compact"/>
      </w:pPr>
      <w:r>
        <w:rPr>
          <w:rStyle w:val="VerbatimChar"/>
        </w:rPr>
        <w:t xml:space="preserve">match_type = fuzzy_complete</w:t>
      </w:r>
      <w:r>
        <w:t xml:space="preserve"> </w:t>
      </w:r>
      <w:r>
        <w:t xml:space="preserve">o</w:t>
      </w:r>
      <w:r>
        <w:t xml:space="preserve"> </w:t>
      </w:r>
      <w:r>
        <w:rPr>
          <w:rStyle w:val="VerbatimChar"/>
        </w:rPr>
        <w:t xml:space="preserve">fuzzy_core</w:t>
      </w:r>
    </w:p>
    <w:bookmarkEnd w:id="27"/>
    <w:bookmarkStart w:id="28" w:name="paso-4-who-api-search-llm"/>
    <w:p>
      <w:pPr>
        <w:pStyle w:val="Heading3"/>
      </w:pPr>
      <w:r>
        <w:t xml:space="preserve">Paso 4 — WHO API</w:t>
      </w:r>
      <w:r>
        <w:t xml:space="preserve"> </w:t>
      </w:r>
      <w:r>
        <w:rPr>
          <w:rStyle w:val="VerbatimChar"/>
        </w:rPr>
        <w:t xml:space="preserve">/search</w:t>
      </w:r>
      <w:r>
        <w:t xml:space="preserve"> </w:t>
      </w:r>
      <w:r>
        <w:t xml:space="preserve">+ LLM</w:t>
      </w:r>
    </w:p>
    <w:p>
      <w:pPr>
        <w:pStyle w:val="FirstParagraph"/>
      </w:pPr>
      <w:r>
        <w:t xml:space="preserve">Lanza</w:t>
      </w:r>
      <w:r>
        <w:t xml:space="preserve"> </w:t>
      </w:r>
      <w:r>
        <w:rPr>
          <w:bCs/>
          <w:b/>
        </w:rPr>
        <w:t xml:space="preserve">dos consultas</w:t>
      </w:r>
      <w:r>
        <w:t xml:space="preserve"> </w:t>
      </w:r>
      <w:r>
        <w:t xml:space="preserve">a</w:t>
      </w:r>
      <w:r>
        <w:t xml:space="preserve"> </w:t>
      </w:r>
      <w:r>
        <w:rPr>
          <w:rStyle w:val="VerbatimChar"/>
        </w:rPr>
        <w:t xml:space="preserve">/search</w:t>
      </w:r>
      <w:r>
        <w:t xml:space="preserve"> </w:t>
      </w:r>
      <w:r>
        <w:t xml:space="preserve">con flexisearch: una con la frase completa y otra con el nombre estándar. Los resultados se unifican en un pool deduplicado por código (la consulta completa tiene prioridad en caso de colisión). El LLM selecciona el candidato más adecuado.</w:t>
      </w:r>
    </w:p>
    <w:p>
      <w:pPr>
        <w:pStyle w:val="BlockText"/>
      </w:pPr>
      <w:r>
        <w:rPr>
          <w:bCs/>
          <w:b/>
        </w:rPr>
        <w:t xml:space="preserve">Nota:</w:t>
      </w:r>
      <w:r>
        <w:t xml:space="preserve"> </w:t>
      </w:r>
      <w:r>
        <w:rPr>
          <w:rStyle w:val="VerbatimChar"/>
        </w:rPr>
        <w:t xml:space="preserve">/autocode</w:t>
      </w:r>
      <w:r>
        <w:t xml:space="preserve"> </w:t>
      </w:r>
      <w:r>
        <w:t xml:space="preserve">fue descartado: en la corrida de referencia (201 casos) no resolvió ningún diagnóstico y sus propuestas coincidían con candidatos ya rechazados por</w:t>
      </w:r>
      <w:r>
        <w:t xml:space="preserve"> </w:t>
      </w:r>
      <w:r>
        <w:rPr>
          <w:rStyle w:val="VerbatimChar"/>
        </w:rPr>
        <w:t xml:space="preserve">/search</w:t>
      </w:r>
      <w:r>
        <w:t xml:space="preserve">.</w:t>
      </w:r>
    </w:p>
    <w:p>
      <w:pPr>
        <w:numPr>
          <w:ilvl w:val="0"/>
          <w:numId w:val="1004"/>
        </w:numPr>
        <w:pStyle w:val="Compact"/>
      </w:pPr>
      <w:r>
        <w:rPr>
          <w:rStyle w:val="VerbatimChar"/>
        </w:rPr>
        <w:t xml:space="preserve">match_type = who_search</w:t>
      </w:r>
    </w:p>
    <w:p>
      <w:pPr>
        <w:numPr>
          <w:ilvl w:val="0"/>
          <w:numId w:val="1004"/>
        </w:numPr>
        <w:pStyle w:val="Compact"/>
      </w:pPr>
      <w:r>
        <w:rPr>
          <w:rStyle w:val="VerbatimChar"/>
        </w:rPr>
        <w:t xml:space="preserve">match_source = complete</w:t>
      </w:r>
      <w:r>
        <w:t xml:space="preserve"> </w:t>
      </w:r>
      <w:r>
        <w:t xml:space="preserve">o</w:t>
      </w:r>
      <w:r>
        <w:t xml:space="preserve"> </w:t>
      </w:r>
      <w:r>
        <w:rPr>
          <w:rStyle w:val="VerbatimChar"/>
        </w:rPr>
        <w:t xml:space="preserve">core</w:t>
      </w:r>
      <w:r>
        <w:t xml:space="preserve"> </w:t>
      </w:r>
      <w:r>
        <w:t xml:space="preserve">(según qué consulta aportó el candidato elegido)</w:t>
      </w:r>
    </w:p>
    <w:bookmarkEnd w:id="28"/>
    <w:bookmarkStart w:id="29" w:name="paso-5-nf-no-encontrado"/>
    <w:p>
      <w:pPr>
        <w:pStyle w:val="Heading3"/>
      </w:pPr>
      <w:r>
        <w:t xml:space="preserve">Paso 5 — NF (no encontrado)</w:t>
      </w:r>
    </w:p>
    <w:p>
      <w:pPr>
        <w:pStyle w:val="FirstParagraph"/>
      </w:pPr>
      <w:r>
        <w:t xml:space="preserve">Asigna un código</w:t>
      </w:r>
      <w:r>
        <w:t xml:space="preserve"> </w:t>
      </w:r>
      <w:r>
        <w:rPr>
          <w:rStyle w:val="VerbatimChar"/>
        </w:rPr>
        <w:t xml:space="preserve">NF-XXXX</w:t>
      </w:r>
      <w:r>
        <w:t xml:space="preserve"> </w:t>
      </w:r>
      <w:r>
        <w:t xml:space="preserve">secuencial global, persistido en</w:t>
      </w:r>
      <w:r>
        <w:t xml:space="preserve"> </w:t>
      </w:r>
      <w:r>
        <w:rPr>
          <w:rStyle w:val="VerbatimChar"/>
        </w:rPr>
        <w:t xml:space="preserve">nf_dictionary.json</w:t>
      </w:r>
      <w:r>
        <w:t xml:space="preserve">. El mismo diagnóstico siempre recibe el mismo código entre corridas.</w:t>
      </w:r>
    </w:p>
    <w:p>
      <w:pPr>
        <w:numPr>
          <w:ilvl w:val="0"/>
          <w:numId w:val="1005"/>
        </w:numPr>
        <w:pStyle w:val="Compact"/>
      </w:pPr>
      <w:r>
        <w:rPr>
          <w:rStyle w:val="VerbatimChar"/>
        </w:rPr>
        <w:t xml:space="preserve">match_type = nf</w:t>
      </w:r>
      <w:r>
        <w:t xml:space="preserve">,</w:t>
      </w:r>
      <w:r>
        <w:t xml:space="preserve"> </w:t>
      </w:r>
      <w:r>
        <w:rPr>
          <w:rStyle w:val="VerbatimChar"/>
        </w:rPr>
        <w:t xml:space="preserve">match_source = none</w:t>
      </w:r>
    </w:p>
    <w:bookmarkEnd w:id="29"/>
    <w:bookmarkEnd w:id="30"/>
    <w:bookmarkStart w:id="31" w:name="ejecución-y-escritura"/>
    <w:p>
      <w:pPr>
        <w:pStyle w:val="Heading2"/>
      </w:pPr>
      <w:r>
        <w:t xml:space="preserve">Ejecución y escritura</w:t>
      </w:r>
    </w:p>
    <w:p>
      <w:pPr>
        <w:numPr>
          <w:ilvl w:val="0"/>
          <w:numId w:val="1006"/>
        </w:numPr>
        <w:pStyle w:val="Compact"/>
      </w:pPr>
      <w:r>
        <w:t xml:space="preserve">Batches de</w:t>
      </w:r>
      <w:r>
        <w:t xml:space="preserve"> </w:t>
      </w:r>
      <w:r>
        <w:rPr>
          <w:bCs/>
          <w:b/>
        </w:rPr>
        <w:t xml:space="preserve">20 filas</w:t>
      </w:r>
      <w:r>
        <w:t xml:space="preserve"> </w:t>
      </w:r>
      <w:r>
        <w:t xml:space="preserve">procesadas con</w:t>
      </w:r>
      <w:r>
        <w:t xml:space="preserve"> </w:t>
      </w:r>
      <w:r>
        <w:rPr>
          <w:rStyle w:val="VerbatimChar"/>
        </w:rPr>
        <w:t xml:space="preserve">asyncio.gather</w:t>
      </w:r>
      <w:r>
        <w:t xml:space="preserve">.</w:t>
      </w:r>
    </w:p>
    <w:p>
      <w:pPr>
        <w:numPr>
          <w:ilvl w:val="0"/>
          <w:numId w:val="1006"/>
        </w:numPr>
        <w:pStyle w:val="Compact"/>
      </w:pPr>
      <w:r>
        <w:t xml:space="preserve">Escribe</w:t>
      </w:r>
      <w:r>
        <w:t xml:space="preserve"> </w:t>
      </w:r>
      <w:r>
        <w:rPr>
          <w:rStyle w:val="VerbatimChar"/>
        </w:rPr>
        <w:t xml:space="preserve">icd11_code</w:t>
      </w:r>
      <w:r>
        <w:t xml:space="preserve"> </w:t>
      </w:r>
      <w:r>
        <w:t xml:space="preserve">(truncado a capítulo+categoría:</w:t>
      </w:r>
      <w:r>
        <w:t xml:space="preserve"> </w:t>
      </w:r>
      <w:r>
        <w:rPr>
          <w:rStyle w:val="VerbatimChar"/>
        </w:rPr>
        <w:t xml:space="preserve">"5A11.2"</w:t>
      </w:r>
      <w:r>
        <w:t xml:space="preserve"> </w:t>
      </w:r>
      <w:r>
        <w:t xml:space="preserve">→</w:t>
      </w:r>
      <w:r>
        <w:t xml:space="preserve"> </w:t>
      </w:r>
      <w:r>
        <w:rPr>
          <w:rStyle w:val="VerbatimChar"/>
        </w:rPr>
        <w:t xml:space="preserve">"5A11"</w:t>
      </w:r>
      <w:r>
        <w:t xml:space="preserve">),</w:t>
      </w:r>
      <w:r>
        <w:t xml:space="preserve"> </w:t>
      </w:r>
      <w:r>
        <w:rPr>
          <w:rStyle w:val="VerbatimChar"/>
        </w:rPr>
        <w:t xml:space="preserve">core_diagnosis</w:t>
      </w:r>
      <w:r>
        <w:t xml:space="preserve">,</w:t>
      </w:r>
      <w:r>
        <w:t xml:space="preserve"> </w:t>
      </w:r>
      <w:r>
        <w:rPr>
          <w:rStyle w:val="VerbatimChar"/>
        </w:rPr>
        <w:t xml:space="preserve">match_type</w:t>
      </w:r>
      <w:r>
        <w:t xml:space="preserve"> </w:t>
      </w:r>
      <w:r>
        <w:t xml:space="preserve">y</w:t>
      </w:r>
      <w:r>
        <w:t xml:space="preserve"> </w:t>
      </w:r>
      <w:r>
        <w:rPr>
          <w:rStyle w:val="VerbatimChar"/>
        </w:rPr>
        <w:t xml:space="preserve">match_source</w:t>
      </w:r>
      <w:r>
        <w:t xml:space="preserve">.</w:t>
      </w:r>
    </w:p>
    <w:p>
      <w:pPr>
        <w:numPr>
          <w:ilvl w:val="0"/>
          <w:numId w:val="1006"/>
        </w:numPr>
        <w:pStyle w:val="Compact"/>
      </w:pPr>
      <w:r>
        <w:t xml:space="preserve">El CSV se sobreescribe in-place al finalizar, conservando todas las columnas originales.</w:t>
      </w:r>
    </w:p>
    <w:p>
      <w:r>
        <w:pict>
          <v:rect style="width:0;height:1.5pt" o:hralign="center" o:hrstd="t" o:hr="t"/>
        </w:pict>
      </w:r>
    </w:p>
    <w:bookmarkEnd w:id="31"/>
    <w:bookmarkEnd w:id="32"/>
    <w:bookmarkStart w:id="37" w:name="X3a5c06c5ae99d40013a1d675ed29e19a65f98f5"/>
    <w:p>
      <w:pPr>
        <w:pStyle w:val="Heading1"/>
      </w:pPr>
      <w:r>
        <w:rPr>
          <w:rStyle w:val="VerbatimChar"/>
        </w:rPr>
        <w:t xml:space="preserve">icd11-lookup.py</w:t>
      </w:r>
      <w:r>
        <w:t xml:space="preserve"> </w:t>
      </w:r>
      <w:r>
        <w:t xml:space="preserve">— Fase 2: Búsqueda inversa y coherencia</w:t>
      </w:r>
    </w:p>
    <w:bookmarkStart w:id="33" w:name="X5250be60ef09e36d679b699308ef78331f047ce"/>
    <w:p>
      <w:pPr>
        <w:pStyle w:val="Heading2"/>
      </w:pPr>
      <w:r>
        <w:t xml:space="preserve">Fase 1 — Búsqueda inversa: código → título oficial (sin LLM)</w:t>
      </w:r>
    </w:p>
    <w:p>
      <w:pPr>
        <w:pStyle w:val="FirstParagraph"/>
      </w:pPr>
      <w:r>
        <w:t xml:space="preserve">Para cada fila con</w:t>
      </w:r>
      <w:r>
        <w:t xml:space="preserve"> </w:t>
      </w:r>
      <w:r>
        <w:rPr>
          <w:rStyle w:val="VerbatimChar"/>
        </w:rPr>
        <w:t xml:space="preserve">icd11_code</w:t>
      </w:r>
      <w:r>
        <w:t xml:space="preserve">:</w:t>
      </w:r>
    </w:p>
    <w:p>
      <w:pPr>
        <w:pStyle w:val="DefinitionTerm"/>
      </w:pPr>
      <w:r>
        <w:rPr>
          <w:bCs/>
          <w:b/>
        </w:rPr>
        <w:t xml:space="preserve">Códigos NF-XXXX</w:t>
      </w:r>
    </w:p>
    <w:p>
      <w:pPr>
        <w:pStyle w:val="Definition"/>
      </w:pPr>
      <w:r>
        <w:t xml:space="preserve">Se resuelven localmente contra</w:t>
      </w:r>
      <w:r>
        <w:t xml:space="preserve"> </w:t>
      </w:r>
      <w:r>
        <w:rPr>
          <w:rStyle w:val="VerbatimChar"/>
        </w:rPr>
        <w:t xml:space="preserve">nf_dictionary.json</w:t>
      </w:r>
      <w:r>
        <w:t xml:space="preserve">. El resultado es</w:t>
      </w:r>
      <w:r>
        <w:t xml:space="preserve"> </w:t>
      </w:r>
      <w:r>
        <w:rPr>
          <w:rStyle w:val="VerbatimChar"/>
        </w:rPr>
        <w:t xml:space="preserve">"[NF] etiqueta"</w:t>
      </w:r>
      <w:r>
        <w:t xml:space="preserve">.</w:t>
      </w:r>
    </w:p>
    <w:p>
      <w:pPr>
        <w:pStyle w:val="DefinitionTerm"/>
      </w:pPr>
      <w:r>
        <w:rPr>
          <w:bCs/>
          <w:b/>
        </w:rPr>
        <w:t xml:space="preserve">Códigos ICD-11 reales</w:t>
      </w:r>
    </w:p>
    <w:p>
      <w:pPr>
        <w:pStyle w:val="Definition"/>
      </w:pPr>
      <w:r>
        <w:t xml:space="preserve">Se consulta</w:t>
      </w:r>
      <w:r>
        <w:t xml:space="preserve"> </w:t>
      </w:r>
      <w:r>
        <w:rPr>
          <w:rStyle w:val="VerbatimChar"/>
        </w:rPr>
        <w:t xml:space="preserve">/codeinfo/{code}</w:t>
      </w:r>
      <w:r>
        <w:t xml:space="preserve">, que devuelve un</w:t>
      </w:r>
      <w:r>
        <w:t xml:space="preserve"> </w:t>
      </w:r>
      <w:r>
        <w:rPr>
          <w:rStyle w:val="VerbatimChar"/>
        </w:rPr>
        <w:t xml:space="preserve">stemId</w:t>
      </w:r>
      <w:r>
        <w:t xml:space="preserve"> </w:t>
      </w:r>
      <w:r>
        <w:t xml:space="preserve">(URI canónica de la entidad). Se sigue ese URI para obtener el título oficial. Si</w:t>
      </w:r>
      <w:r>
        <w:t xml:space="preserve"> </w:t>
      </w:r>
      <w:r>
        <w:rPr>
          <w:rStyle w:val="VerbatimChar"/>
        </w:rPr>
        <w:t xml:space="preserve">/codeinfo</w:t>
      </w:r>
      <w:r>
        <w:t xml:space="preserve"> </w:t>
      </w:r>
      <w:r>
        <w:t xml:space="preserve">falla, el fallback es</w:t>
      </w:r>
      <w:r>
        <w:t xml:space="preserve"> </w:t>
      </w:r>
      <w:r>
        <w:rPr>
          <w:rStyle w:val="VerbatimChar"/>
        </w:rPr>
        <w:t xml:space="preserve">/search</w:t>
      </w:r>
      <w:r>
        <w:t xml:space="preserve"> </w:t>
      </w:r>
      <w:r>
        <w:t xml:space="preserve">restringido al código exacto.</w:t>
      </w:r>
    </w:p>
    <w:p>
      <w:pPr>
        <w:pStyle w:val="FirstParagraph"/>
      </w:pPr>
      <w:r>
        <w:t xml:space="preserve">Se ejecutan</w:t>
      </w:r>
      <w:r>
        <w:t xml:space="preserve"> </w:t>
      </w:r>
      <w:r>
        <w:rPr>
          <w:bCs/>
          <w:b/>
        </w:rPr>
        <w:t xml:space="preserve">8 workers concurrentes</w:t>
      </w:r>
      <w:r>
        <w:t xml:space="preserve"> </w:t>
      </w:r>
      <w:r>
        <w:t xml:space="preserve">(</w:t>
      </w:r>
      <w:r>
        <w:rPr>
          <w:rStyle w:val="VerbatimChar"/>
        </w:rPr>
        <w:t xml:space="preserve">ThreadPoolExecutor</w:t>
      </w:r>
      <w:r>
        <w:t xml:space="preserve">) con caché en memoria por código.</w:t>
      </w:r>
    </w:p>
    <w:bookmarkEnd w:id="33"/>
    <w:bookmarkStart w:id="34" w:name="fase-2-evaluación-de-coherencia-llm"/>
    <w:p>
      <w:pPr>
        <w:pStyle w:val="Heading2"/>
      </w:pPr>
      <w:r>
        <w:t xml:space="preserve">Fase 2 — Evaluación de coherencia (LLM)</w:t>
      </w:r>
    </w:p>
    <w:p>
      <w:pPr>
        <w:pStyle w:val="FirstParagraph"/>
      </w:pPr>
      <w:r>
        <w:t xml:space="preserve">El LLM recibe</w:t>
      </w:r>
      <w:r>
        <w:t xml:space="preserve"> </w:t>
      </w:r>
      <w:r>
        <w:rPr>
          <w:rStyle w:val="VerbatimChar"/>
        </w:rPr>
        <w:t xml:space="preserve">diagnosis_es</w:t>
      </w:r>
      <w:r>
        <w:t xml:space="preserve"> </w:t>
      </w:r>
      <w:r>
        <w:t xml:space="preserve">e</w:t>
      </w:r>
      <w:r>
        <w:t xml:space="preserve"> </w:t>
      </w:r>
      <w:r>
        <w:rPr>
          <w:rStyle w:val="VerbatimChar"/>
        </w:rPr>
        <w:t xml:space="preserve">icd11_lookup</w:t>
      </w:r>
      <w:r>
        <w:t xml:space="preserve"> </w:t>
      </w:r>
      <w:r>
        <w:t xml:space="preserve">y responde</w:t>
      </w:r>
      <w:r>
        <w:t xml:space="preserve"> </w:t>
      </w:r>
      <w:r>
        <w:rPr>
          <w:rStyle w:val="VerbatimChar"/>
        </w:rPr>
        <w:t xml:space="preserve">yes</w:t>
      </w:r>
      <w:r>
        <w:t xml:space="preserve"> </w:t>
      </w:r>
      <w:r>
        <w:t xml:space="preserve">o</w:t>
      </w:r>
      <w:r>
        <w:t xml:space="preserve"> </w:t>
      </w:r>
      <w:r>
        <w:rPr>
          <w:rStyle w:val="VerbatimChar"/>
        </w:rPr>
        <w:t xml:space="preserve">no</w:t>
      </w:r>
      <w:r>
        <w:t xml:space="preserve">:</w:t>
      </w:r>
    </w:p>
    <w:p>
      <w:pPr>
        <w:pStyle w:val="BlockText"/>
      </w:pPr>
      <w:r>
        <w:rPr>
          <w:iCs/>
          <w:i/>
        </w:rPr>
        <w:t xml:space="preserve">¿El título de la categoría ICD-11 es coherente con el diagnóstico?</w:t>
      </w:r>
    </w:p>
    <w:p>
      <w:pPr>
        <w:pStyle w:val="FirstParagraph"/>
      </w:pPr>
      <w:r>
        <w:rPr>
          <w:bCs/>
          <w:b/>
        </w:rPr>
        <w:t xml:space="preserve">Criterio flexible:</w:t>
      </w:r>
      <w:r>
        <w:t xml:space="preserve"> </w:t>
      </w:r>
      <w:r>
        <w:t xml:space="preserve">los códigos están truncados a capítulo+categoría, por lo que el título siempre es más general que el diagnóstico. Que englobe correctamente al diagnóstico cuenta como</w:t>
      </w:r>
      <w:r>
        <w:t xml:space="preserve"> </w:t>
      </w:r>
      <w:r>
        <w:rPr>
          <w:rStyle w:val="VerbatimChar"/>
        </w:rPr>
        <w:t xml:space="preserve">yes</w:t>
      </w:r>
      <w:r>
        <w:t xml:space="preserve">.</w:t>
      </w:r>
    </w:p>
    <w:tbl>
      <w:tblPr>
        <w:tblStyle w:val="Table"/>
        <w:tblW w:type="pct" w:w="0.0"/>
        <w:tblLook w:firstRow="1" w:lastRow="0" w:firstColumn="0" w:lastColumn="0" w:noHBand="0" w:noVBand="0" w:val="0020"/>
      </w:tblPr>
      <w:tblGrid/>
      <w:tr>
        <w:tc>
          <w:p>
            <w:pPr>
              <w:pStyle w:val="Compact"/>
              <w:jc w:val="left"/>
            </w:pPr>
            <w:r>
              <w:t xml:space="preserve">Situación</w:t>
            </w:r>
          </w:p>
        </w:tc>
        <w:tc>
          <w:p>
            <w:pPr>
              <w:pStyle w:val="Compact"/>
              <w:jc w:val="left"/>
            </w:pPr>
            <w:r>
              <w:t xml:space="preserve">Resultado</w:t>
            </w:r>
          </w:p>
        </w:tc>
      </w:tr>
      <w:tr>
        <w:tc>
          <w:p>
            <w:pPr>
              <w:pStyle w:val="Compact"/>
              <w:jc w:val="left"/>
            </w:pPr>
            <w:r>
              <w:t xml:space="preserve">Código NF (por defecto)</w:t>
            </w:r>
          </w:p>
        </w:tc>
        <w:tc>
          <w:p>
            <w:pPr>
              <w:pStyle w:val="Compact"/>
              <w:jc w:val="left"/>
            </w:pPr>
            <w:r>
              <w:rPr>
                <w:rStyle w:val="VerbatimChar"/>
              </w:rPr>
              <w:t xml:space="preserve">consistency = ""</w:t>
            </w:r>
            <w:r>
              <w:t xml:space="preserve"> </w:t>
            </w:r>
            <w:r>
              <w:t xml:space="preserve">(omitido)</w:t>
            </w:r>
          </w:p>
        </w:tc>
      </w:tr>
      <w:tr>
        <w:tc>
          <w:p>
            <w:pPr>
              <w:pStyle w:val="Compact"/>
              <w:jc w:val="left"/>
            </w:pPr>
            <w:r>
              <w:t xml:space="preserve">Código ICD-11 sin lookup</w:t>
            </w:r>
          </w:p>
        </w:tc>
        <w:tc>
          <w:p>
            <w:pPr>
              <w:pStyle w:val="Compact"/>
              <w:jc w:val="left"/>
            </w:pPr>
            <w:r>
              <w:rPr>
                <w:rStyle w:val="VerbatimChar"/>
              </w:rPr>
              <w:t xml:space="preserve">consistency = "no"</w:t>
            </w:r>
          </w:p>
        </w:tc>
      </w:tr>
      <w:tr>
        <w:tc>
          <w:p>
            <w:pPr>
              <w:pStyle w:val="Compact"/>
              <w:jc w:val="left"/>
            </w:pPr>
            <w:r>
              <w:t xml:space="preserve">LLM confirma coherencia</w:t>
            </w:r>
          </w:p>
        </w:tc>
        <w:tc>
          <w:p>
            <w:pPr>
              <w:pStyle w:val="Compact"/>
              <w:jc w:val="left"/>
            </w:pPr>
            <w:r>
              <w:rPr>
                <w:rStyle w:val="VerbatimChar"/>
              </w:rPr>
              <w:t xml:space="preserve">consistency = "yes"</w:t>
            </w:r>
          </w:p>
        </w:tc>
      </w:tr>
      <w:tr>
        <w:tc>
          <w:p>
            <w:pPr>
              <w:pStyle w:val="Compact"/>
              <w:jc w:val="left"/>
            </w:pPr>
            <w:r>
              <w:t xml:space="preserve">LLM niega coherencia</w:t>
            </w:r>
          </w:p>
        </w:tc>
        <w:tc>
          <w:p>
            <w:pPr>
              <w:pStyle w:val="Compact"/>
              <w:jc w:val="left"/>
            </w:pPr>
            <w:r>
              <w:rPr>
                <w:rStyle w:val="VerbatimChar"/>
              </w:rPr>
              <w:t xml:space="preserve">consistency = "no"</w:t>
            </w:r>
          </w:p>
        </w:tc>
      </w:tr>
      <w:tr>
        <w:tc>
          <w:p>
            <w:pPr>
              <w:pStyle w:val="Compact"/>
              <w:jc w:val="left"/>
            </w:pPr>
            <w:r>
              <w:t xml:space="preserve">Error o respuesta inválida del LLM</w:t>
            </w:r>
          </w:p>
        </w:tc>
        <w:tc>
          <w:p>
            <w:pPr>
              <w:pStyle w:val="Compact"/>
              <w:jc w:val="left"/>
            </w:pPr>
            <w:r>
              <w:rPr>
                <w:rStyle w:val="VerbatimChar"/>
              </w:rPr>
              <w:t xml:space="preserve">consistency = ""</w:t>
            </w:r>
          </w:p>
        </w:tc>
      </w:tr>
    </w:tbl>
    <w:p>
      <w:pPr>
        <w:pStyle w:val="BodyText"/>
      </w:pPr>
      <w:r>
        <w:t xml:space="preserve">Las filas NF se omiten por defecto porque su lookup es el propio diagnóstico, lo que daría</w:t>
      </w:r>
      <w:r>
        <w:t xml:space="preserve"> </w:t>
      </w:r>
      <w:r>
        <w:rPr>
          <w:rStyle w:val="VerbatimChar"/>
        </w:rPr>
        <w:t xml:space="preserve">yes</w:t>
      </w:r>
      <w:r>
        <w:t xml:space="preserve"> </w:t>
      </w:r>
      <w:r>
        <w:t xml:space="preserve">trivialmente e inflaría la métrica. El flag</w:t>
      </w:r>
      <w:r>
        <w:t xml:space="preserve"> </w:t>
      </w:r>
      <w:r>
        <w:rPr>
          <w:rStyle w:val="VerbatimChar"/>
        </w:rPr>
        <w:t xml:space="preserve">--eval-nf</w:t>
      </w:r>
      <w:r>
        <w:t xml:space="preserve"> </w:t>
      </w:r>
      <w:r>
        <w:t xml:space="preserve">las incluye.</w:t>
      </w:r>
    </w:p>
    <w:p>
      <w:pPr>
        <w:pStyle w:val="BodyText"/>
      </w:pPr>
      <w:r>
        <w:t xml:space="preserve">Batches de</w:t>
      </w:r>
      <w:r>
        <w:t xml:space="preserve"> </w:t>
      </w:r>
      <w:r>
        <w:rPr>
          <w:bCs/>
          <w:b/>
        </w:rPr>
        <w:t xml:space="preserve">10 filas</w:t>
      </w:r>
      <w:r>
        <w:t xml:space="preserve"> </w:t>
      </w:r>
      <w:r>
        <w:t xml:space="preserve">con</w:t>
      </w:r>
      <w:r>
        <w:t xml:space="preserve"> </w:t>
      </w:r>
      <w:r>
        <w:rPr>
          <w:rStyle w:val="VerbatimChar"/>
        </w:rPr>
        <w:t xml:space="preserve">asyncio.gather</w:t>
      </w:r>
      <w:r>
        <w:t xml:space="preserve">.</w:t>
      </w:r>
    </w:p>
    <w:bookmarkEnd w:id="34"/>
    <w:bookmarkStart w:id="35" w:name="opciones-de-línea-de-comandos"/>
    <w:p>
      <w:pPr>
        <w:pStyle w:val="Heading2"/>
      </w:pPr>
      <w:r>
        <w:t xml:space="preserve">Opciones de línea de comandos</w:t>
      </w:r>
    </w:p>
    <w:tbl>
      <w:tblPr>
        <w:tblStyle w:val="Table"/>
        <w:tblW w:type="pct" w:w="0.0"/>
        <w:tblLook w:firstRow="1" w:lastRow="0" w:firstColumn="0" w:lastColumn="0" w:noHBand="0" w:noVBand="0" w:val="0020"/>
      </w:tblPr>
      <w:tblGrid/>
      <w:tr>
        <w:tc>
          <w:p>
            <w:pPr>
              <w:pStyle w:val="Compact"/>
              <w:jc w:val="left"/>
            </w:pPr>
            <w:r>
              <w:t xml:space="preserve">Flag</w:t>
            </w:r>
          </w:p>
        </w:tc>
        <w:tc>
          <w:p>
            <w:pPr>
              <w:pStyle w:val="Compact"/>
              <w:jc w:val="left"/>
            </w:pPr>
            <w:r>
              <w:t xml:space="preserve">Efecto</w:t>
            </w:r>
          </w:p>
        </w:tc>
      </w:tr>
      <w:tr>
        <w:tc>
          <w:p>
            <w:pPr>
              <w:pStyle w:val="Compact"/>
              <w:jc w:val="left"/>
            </w:pPr>
            <w:r>
              <w:rPr>
                <w:rStyle w:val="VerbatimChar"/>
              </w:rPr>
              <w:t xml:space="preserve">--overwrite</w:t>
            </w:r>
          </w:p>
        </w:tc>
        <w:tc>
          <w:p>
            <w:pPr>
              <w:pStyle w:val="Compact"/>
              <w:jc w:val="left"/>
            </w:pPr>
            <w:r>
              <w:t xml:space="preserve">Rehace filas ya procesadas</w:t>
            </w:r>
          </w:p>
        </w:tc>
      </w:tr>
      <w:tr>
        <w:tc>
          <w:p>
            <w:pPr>
              <w:pStyle w:val="Compact"/>
              <w:jc w:val="left"/>
            </w:pPr>
            <w:r>
              <w:rPr>
                <w:rStyle w:val="VerbatimChar"/>
              </w:rPr>
              <w:t xml:space="preserve">--skip-consistency</w:t>
            </w:r>
          </w:p>
        </w:tc>
        <w:tc>
          <w:p>
            <w:pPr>
              <w:pStyle w:val="Compact"/>
              <w:jc w:val="left"/>
            </w:pPr>
            <w:r>
              <w:t xml:space="preserve">Solo fase 1, sin invocar el LLM</w:t>
            </w:r>
          </w:p>
        </w:tc>
      </w:tr>
      <w:tr>
        <w:tc>
          <w:p>
            <w:pPr>
              <w:pStyle w:val="Compact"/>
              <w:jc w:val="left"/>
            </w:pPr>
            <w:r>
              <w:rPr>
                <w:rStyle w:val="VerbatimChar"/>
              </w:rPr>
              <w:t xml:space="preserve">--eval-nf</w:t>
            </w:r>
          </w:p>
        </w:tc>
        <w:tc>
          <w:p>
            <w:pPr>
              <w:pStyle w:val="Compact"/>
              <w:jc w:val="left"/>
            </w:pPr>
            <w:r>
              <w:t xml:space="preserve">Evalúa coherencia también en filas NF</w:t>
            </w:r>
          </w:p>
        </w:tc>
      </w:tr>
      <w:tr>
        <w:tc>
          <w:p>
            <w:pPr>
              <w:pStyle w:val="Compact"/>
              <w:jc w:val="left"/>
            </w:pPr>
            <w:r>
              <w:rPr>
                <w:rStyle w:val="VerbatimChar"/>
              </w:rPr>
              <w:t xml:space="preserve">--rows N</w:t>
            </w:r>
          </w:p>
        </w:tc>
        <w:tc>
          <w:p>
            <w:pPr>
              <w:pStyle w:val="Compact"/>
              <w:jc w:val="left"/>
            </w:pPr>
            <w:r>
              <w:t xml:space="preserve">Procesa solo las primeras N filas (modo prueba)</w:t>
            </w:r>
          </w:p>
        </w:tc>
      </w:tr>
      <w:tr>
        <w:tc>
          <w:p>
            <w:pPr>
              <w:pStyle w:val="Compact"/>
              <w:jc w:val="left"/>
            </w:pPr>
            <w:r>
              <w:rPr>
                <w:rStyle w:val="VerbatimChar"/>
              </w:rPr>
              <w:t xml:space="preserve">--workers N</w:t>
            </w:r>
          </w:p>
        </w:tc>
        <w:tc>
          <w:p>
            <w:pPr>
              <w:pStyle w:val="Compact"/>
              <w:jc w:val="left"/>
            </w:pPr>
            <w:r>
              <w:t xml:space="preserve">Concurrencia WHO API (default: 8)</w:t>
            </w:r>
          </w:p>
        </w:tc>
      </w:tr>
      <w:tr>
        <w:tc>
          <w:p>
            <w:pPr>
              <w:pStyle w:val="Compact"/>
              <w:jc w:val="left"/>
            </w:pPr>
            <w:r>
              <w:rPr>
                <w:rStyle w:val="VerbatimChar"/>
              </w:rPr>
              <w:t xml:space="preserve">--lang es\|en</w:t>
            </w:r>
          </w:p>
        </w:tc>
        <w:tc>
          <w:p>
            <w:pPr>
              <w:pStyle w:val="Compact"/>
              <w:jc w:val="left"/>
            </w:pPr>
            <w:r>
              <w:t xml:space="preserve">Idioma de los títulos devueltos por la API</w:t>
            </w:r>
          </w:p>
        </w:tc>
      </w:tr>
    </w:tbl>
    <w:bookmarkEnd w:id="35"/>
    <w:bookmarkStart w:id="36" w:name="columnas-escritas"/>
    <w:p>
      <w:pPr>
        <w:pStyle w:val="Heading2"/>
      </w:pPr>
      <w:r>
        <w:t xml:space="preserve">Columnas escritas</w:t>
      </w:r>
    </w:p>
    <w:tbl>
      <w:tblPr>
        <w:tblStyle w:val="Table"/>
        <w:tblW w:type="pct" w:w="0.0"/>
        <w:tblLook w:firstRow="1" w:lastRow="0" w:firstColumn="0" w:lastColumn="0" w:noHBand="0" w:noVBand="0" w:val="0020"/>
      </w:tblPr>
      <w:tblGrid/>
      <w:tr>
        <w:tc>
          <w:p>
            <w:pPr>
              <w:pStyle w:val="Compact"/>
              <w:jc w:val="left"/>
            </w:pPr>
            <w:r>
              <w:t xml:space="preserve">Columna</w:t>
            </w:r>
          </w:p>
        </w:tc>
        <w:tc>
          <w:p>
            <w:pPr>
              <w:pStyle w:val="Compact"/>
              <w:jc w:val="left"/>
            </w:pPr>
            <w:r>
              <w:t xml:space="preserve">Contenido</w:t>
            </w:r>
          </w:p>
        </w:tc>
      </w:tr>
      <w:tr>
        <w:tc>
          <w:p>
            <w:pPr>
              <w:pStyle w:val="Compact"/>
              <w:jc w:val="left"/>
            </w:pPr>
            <w:r>
              <w:rPr>
                <w:rStyle w:val="VerbatimChar"/>
              </w:rPr>
              <w:t xml:space="preserve">icd11_lookup</w:t>
            </w:r>
          </w:p>
        </w:tc>
        <w:tc>
          <w:p>
            <w:pPr>
              <w:pStyle w:val="Compact"/>
              <w:jc w:val="left"/>
            </w:pPr>
            <w:r>
              <w:t xml:space="preserve">Título oficial WHO en español (o</w:t>
            </w:r>
            <w:r>
              <w:t xml:space="preserve"> </w:t>
            </w:r>
            <w:r>
              <w:rPr>
                <w:rStyle w:val="VerbatimChar"/>
              </w:rPr>
              <w:t xml:space="preserve">[NF] etiqueta</w:t>
            </w:r>
            <w:r>
              <w:t xml:space="preserve">)</w:t>
            </w:r>
          </w:p>
        </w:tc>
      </w:tr>
      <w:tr>
        <w:tc>
          <w:p>
            <w:pPr>
              <w:pStyle w:val="Compact"/>
              <w:jc w:val="left"/>
            </w:pPr>
            <w:r>
              <w:rPr>
                <w:rStyle w:val="VerbatimChar"/>
              </w:rPr>
              <w:t xml:space="preserve">consistency</w:t>
            </w:r>
          </w:p>
        </w:tc>
        <w:tc>
          <w:p>
            <w:pPr>
              <w:pStyle w:val="Compact"/>
              <w:jc w:val="left"/>
            </w:pPr>
            <w:r>
              <w:rPr>
                <w:rStyle w:val="VerbatimChar"/>
              </w:rPr>
              <w:t xml:space="preserve">yes</w:t>
            </w:r>
            <w:r>
              <w:t xml:space="preserve"> </w:t>
            </w:r>
            <w:r>
              <w:t xml:space="preserve">|</w:t>
            </w:r>
            <w:r>
              <w:t xml:space="preserve"> </w:t>
            </w:r>
            <w:r>
              <w:rPr>
                <w:rStyle w:val="VerbatimChar"/>
              </w:rPr>
              <w:t xml:space="preserve">no</w:t>
            </w:r>
            <w:r>
              <w:t xml:space="preserve"> </w:t>
            </w:r>
            <w:r>
              <w:t xml:space="preserve">|</w:t>
            </w:r>
            <w:r>
              <w:t xml:space="preserve"> </w:t>
            </w:r>
            <w:r>
              <w:rPr>
                <w:rStyle w:val="VerbatimChar"/>
              </w:rPr>
              <w:t xml:space="preserve">""</w:t>
            </w:r>
          </w:p>
        </w:tc>
      </w:tr>
    </w:tbl>
    <w:p>
      <w:r>
        <w:pict>
          <v:rect style="width:0;height:1.5pt" o:hralign="center" o:hrstd="t" o:hr="t"/>
        </w:pict>
      </w:r>
    </w:p>
    <w:bookmarkEnd w:id="36"/>
    <w:bookmarkEnd w:id="37"/>
    <w:bookmarkStart w:id="38" w:name="artefactos-persistentes-entre-corridas"/>
    <w:p>
      <w:pPr>
        <w:pStyle w:val="Heading1"/>
      </w:pPr>
      <w:r>
        <w:t xml:space="preserve">Artefactos persistentes entre corridas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Archivo</w:t>
            </w:r>
          </w:p>
        </w:tc>
        <w:tc>
          <w:p>
            <w:pPr>
              <w:pStyle w:val="Compact"/>
              <w:jc w:val="left"/>
            </w:pPr>
            <w:r>
              <w:t xml:space="preserve">Contenido</w:t>
            </w:r>
          </w:p>
        </w:tc>
        <w:tc>
          <w:p>
            <w:pPr>
              <w:pStyle w:val="Compact"/>
              <w:jc w:val="left"/>
            </w:pPr>
            <w:r>
              <w:t xml:space="preserve">Compartido entre scripts</w:t>
            </w:r>
          </w:p>
        </w:tc>
      </w:tr>
      <w:tr>
        <w:tc>
          <w:p>
            <w:pPr>
              <w:pStyle w:val="Compact"/>
              <w:jc w:val="left"/>
            </w:pPr>
            <w:r>
              <w:rPr>
                <w:rStyle w:val="VerbatimChar"/>
              </w:rPr>
              <w:t xml:space="preserve">dataset-runN.csv</w:t>
            </w:r>
          </w:p>
        </w:tc>
        <w:tc>
          <w:p>
            <w:pPr>
              <w:pStyle w:val="Compact"/>
              <w:jc w:val="left"/>
            </w:pPr>
            <w:r>
              <w:t xml:space="preserve">Dataset principal, modificado in-place</w:t>
            </w:r>
          </w:p>
        </w:tc>
        <w:tc>
          <w:p>
            <w:pPr>
              <w:pStyle w:val="Compact"/>
              <w:jc w:val="left"/>
            </w:pPr>
            <w:r>
              <w:t xml:space="preserve">Sí (salida de fase 1, entrada de fase 2)</w:t>
            </w:r>
          </w:p>
        </w:tc>
      </w:tr>
      <w:tr>
        <w:tc>
          <w:p>
            <w:pPr>
              <w:pStyle w:val="Compact"/>
              <w:jc w:val="left"/>
            </w:pPr>
            <w:r>
              <w:rPr>
                <w:rStyle w:val="VerbatimChar"/>
              </w:rPr>
              <w:t xml:space="preserve">nf_dictionary.json</w:t>
            </w:r>
          </w:p>
        </w:tc>
        <w:tc>
          <w:p>
            <w:pPr>
              <w:pStyle w:val="Compact"/>
              <w:jc w:val="left"/>
            </w:pPr>
            <w:r>
              <w:t xml:space="preserve">Mapa diagnóstico NF → código NF-XXXX</w:t>
            </w:r>
          </w:p>
        </w:tc>
        <w:tc>
          <w:p>
            <w:pPr>
              <w:pStyle w:val="Compact"/>
              <w:jc w:val="left"/>
            </w:pPr>
            <w:r>
              <w:t xml:space="preserve">Sí (escrito por fase 1, leído por fase 2)</w:t>
            </w:r>
          </w:p>
        </w:tc>
      </w:tr>
    </w:tbl>
    <w:p>
      <w:pPr>
        <w:pStyle w:val="BodyText"/>
      </w:pPr>
      <w:r>
        <w:rPr>
          <w:rStyle w:val="VerbatimChar"/>
        </w:rPr>
        <w:t xml:space="preserve">nf_dictionary.json</w:t>
      </w:r>
      <w:r>
        <w:t xml:space="preserve"> </w:t>
      </w:r>
      <w:r>
        <w:t xml:space="preserve">garantiza que el mismo diagnóstico no resuelto recibe el mismo código en todas las corridas, lo que hace posible calcular la</w:t>
      </w:r>
      <w:r>
        <w:t xml:space="preserve"> </w:t>
      </w:r>
      <w:r>
        <w:rPr>
          <w:bCs/>
          <w:b/>
        </w:rPr>
        <w:t xml:space="preserve">estabilidad de asignación</w:t>
      </w:r>
      <w:r>
        <w:t xml:space="preserve"> </w:t>
      </w:r>
      <w:r>
        <w:t xml:space="preserve">entre runs.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de Etiquetado ICD-11</dc:title>
  <dc:creator/>
  <dc:language>es</dc:language>
  <cp:keywords/>
  <dcterms:created xsi:type="dcterms:W3CDTF">2026-07-22T00:31:48Z</dcterms:created>
  <dcterms:modified xsi:type="dcterms:W3CDTF">2026-07-22T00:31:48Z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2026-07-21</vt:lpwstr>
  </property>
  <property fmtid="{D5CDD505-2E9C-101B-9397-08002B2CF9AE}" pid="4" name="fontsize">
    <vt:lpwstr>11pt</vt:lpwstr>
  </property>
  <property fmtid="{D5CDD505-2E9C-101B-9397-08002B2CF9AE}" pid="5" name="geometry">
    <vt:lpwstr>margin=2.5cm</vt:lpwstr>
  </property>
  <property fmtid="{D5CDD505-2E9C-101B-9397-08002B2CF9AE}" pid="6" name="header-includes">
    <vt:lpwstr/>
  </property>
  <property fmtid="{D5CDD505-2E9C-101B-9397-08002B2CF9AE}" pid="7" name="linkcolor">
    <vt:lpwstr>NavyBlue</vt:lpwstr>
  </property>
  <property fmtid="{D5CDD505-2E9C-101B-9397-08002B2CF9AE}" pid="8" name="mainfont">
    <vt:lpwstr>DejaVu Serif</vt:lpwstr>
  </property>
  <property fmtid="{D5CDD505-2E9C-101B-9397-08002B2CF9AE}" pid="9" name="monofont">
    <vt:lpwstr>DejaVu Sans Mono</vt:lpwstr>
  </property>
  <property fmtid="{D5CDD505-2E9C-101B-9397-08002B2CF9AE}" pid="10" name="sansfont">
    <vt:lpwstr>DejaVu Sans</vt:lpwstr>
  </property>
  <property fmtid="{D5CDD505-2E9C-101B-9397-08002B2CF9AE}" pid="11" name="subtitle">
    <vt:lpwstr>Estructura y flujo de icd-experiment.py e icd11-lookup.py</vt:lpwstr>
  </property>
</Properties>
</file>