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0E3B" w:rsidRPr="00A655C7" w:rsidRDefault="00FC0E3B" w:rsidP="00A4435D">
      <w:pPr>
        <w:pStyle w:val="Cm"/>
        <w:jc w:val="both"/>
      </w:pPr>
      <w:r w:rsidRPr="00A655C7">
        <w:t>Analog Input Subsystem</w:t>
      </w:r>
    </w:p>
    <w:p w:rsidR="00FC0E3B" w:rsidRPr="00A655C7" w:rsidRDefault="00FC0E3B" w:rsidP="00A4435D">
      <w:pPr>
        <w:pStyle w:val="Cmsor1"/>
        <w:jc w:val="both"/>
      </w:pPr>
      <w:r w:rsidRPr="00A655C7">
        <w:t>1. Introduction</w:t>
      </w:r>
    </w:p>
    <w:p w:rsidR="00FC0E3B" w:rsidRPr="00FC0E3B" w:rsidRDefault="00FC0E3B" w:rsidP="00A4435D">
      <w:pPr>
        <w:jc w:val="both"/>
      </w:pPr>
      <w:r w:rsidRPr="00FC0E3B">
        <w:t>This document provides a detailed overview of the Analog Input (AI) subsystem of the DAQ system, focusing on signal acquisition, amplification, filtering, and communication with the ADC. It covers key components, signal flow, and considerations for optimal performance.</w:t>
      </w:r>
    </w:p>
    <w:p w:rsidR="00FC0E3B" w:rsidRPr="00FC0E3B" w:rsidRDefault="00FC0E3B" w:rsidP="00A4435D">
      <w:pPr>
        <w:jc w:val="both"/>
      </w:pPr>
      <w:r w:rsidRPr="00FC0E3B">
        <w:pict>
          <v:rect id="_x0000_i1109" style="width:0;height:1.5pt" o:hralign="center" o:hrstd="t" o:hr="t" fillcolor="#a0a0a0" stroked="f"/>
        </w:pict>
      </w:r>
    </w:p>
    <w:p w:rsidR="00FC0E3B" w:rsidRPr="00A655C7" w:rsidRDefault="00FC0E3B" w:rsidP="00A4435D">
      <w:pPr>
        <w:pStyle w:val="Cmsor1"/>
        <w:jc w:val="both"/>
      </w:pPr>
      <w:r w:rsidRPr="00A655C7">
        <w:t>2. System Overview</w:t>
      </w:r>
    </w:p>
    <w:p w:rsidR="00FC0E3B" w:rsidRPr="00FC0E3B" w:rsidRDefault="00FC0E3B" w:rsidP="00A4435D">
      <w:pPr>
        <w:jc w:val="both"/>
      </w:pPr>
      <w:r w:rsidRPr="00FC0E3B">
        <w:t>The Analog Input Subsystem consists of:</w:t>
      </w:r>
    </w:p>
    <w:p w:rsidR="00FC0E3B" w:rsidRPr="00FC0E3B" w:rsidRDefault="00FC0E3B" w:rsidP="00A4435D">
      <w:pPr>
        <w:numPr>
          <w:ilvl w:val="0"/>
          <w:numId w:val="8"/>
        </w:numPr>
        <w:jc w:val="both"/>
      </w:pPr>
      <w:r w:rsidRPr="00FC0E3B">
        <w:t>16 Differential Analog Inputs (AI)</w:t>
      </w:r>
    </w:p>
    <w:p w:rsidR="00FC0E3B" w:rsidRPr="00FC0E3B" w:rsidRDefault="00FC0E3B" w:rsidP="00A4435D">
      <w:pPr>
        <w:numPr>
          <w:ilvl w:val="0"/>
          <w:numId w:val="8"/>
        </w:numPr>
        <w:jc w:val="both"/>
      </w:pPr>
      <w:r w:rsidRPr="00FC0E3B">
        <w:t>Programmable Gain Amplifiers (PGA) for signal conditioning</w:t>
      </w:r>
    </w:p>
    <w:p w:rsidR="00FC0E3B" w:rsidRPr="00FC0E3B" w:rsidRDefault="00FC0E3B" w:rsidP="00A4435D">
      <w:pPr>
        <w:numPr>
          <w:ilvl w:val="0"/>
          <w:numId w:val="8"/>
        </w:numPr>
        <w:jc w:val="both"/>
      </w:pPr>
      <w:r w:rsidRPr="00FC0E3B">
        <w:t>Multiplexers for channel selection</w:t>
      </w:r>
    </w:p>
    <w:p w:rsidR="00FC0E3B" w:rsidRPr="00FC0E3B" w:rsidRDefault="00FC0E3B" w:rsidP="00A4435D">
      <w:pPr>
        <w:numPr>
          <w:ilvl w:val="0"/>
          <w:numId w:val="8"/>
        </w:numPr>
        <w:jc w:val="both"/>
      </w:pPr>
      <w:r w:rsidRPr="00FC0E3B">
        <w:t>High-speed 14-bit ADC for conversion</w:t>
      </w:r>
    </w:p>
    <w:p w:rsidR="00FC0E3B" w:rsidRPr="00FC0E3B" w:rsidRDefault="00FC0E3B" w:rsidP="00A4435D">
      <w:pPr>
        <w:numPr>
          <w:ilvl w:val="0"/>
          <w:numId w:val="8"/>
        </w:numPr>
        <w:jc w:val="both"/>
      </w:pPr>
      <w:r w:rsidRPr="00FC0E3B">
        <w:t>SPI communication for data transfer</w:t>
      </w:r>
    </w:p>
    <w:p w:rsidR="00FC0E3B" w:rsidRPr="00FC0E3B" w:rsidRDefault="00FC0E3B" w:rsidP="00A4435D">
      <w:pPr>
        <w:numPr>
          <w:ilvl w:val="0"/>
          <w:numId w:val="8"/>
        </w:numPr>
        <w:jc w:val="both"/>
      </w:pPr>
      <w:r w:rsidRPr="00FC0E3B">
        <w:t>Power distribution and filtering</w:t>
      </w:r>
    </w:p>
    <w:p w:rsidR="00FC0E3B" w:rsidRPr="00FC0E3B" w:rsidRDefault="00FC0E3B" w:rsidP="00A4435D">
      <w:pPr>
        <w:jc w:val="both"/>
      </w:pPr>
    </w:p>
    <w:p w:rsidR="00FC0E3B" w:rsidRPr="00A655C7" w:rsidRDefault="00FC0E3B" w:rsidP="00A4435D">
      <w:pPr>
        <w:pStyle w:val="Cmsor1"/>
        <w:jc w:val="both"/>
      </w:pPr>
      <w:r w:rsidRPr="00A655C7">
        <w:t>3. Analog Input (16 Channels)</w:t>
      </w:r>
    </w:p>
    <w:p w:rsidR="00A655C7" w:rsidRPr="00A655C7" w:rsidRDefault="00A655C7" w:rsidP="00A4435D">
      <w:pPr>
        <w:jc w:val="both"/>
      </w:pPr>
      <w:r w:rsidRPr="00A655C7">
        <w:t>The analog input section of the DAQ system is designed to provide high precision and flexibility, capable of acquiring signals from various sources.</w:t>
      </w:r>
    </w:p>
    <w:p w:rsidR="00A655C7" w:rsidRPr="00A655C7" w:rsidRDefault="00A655C7" w:rsidP="00A4435D">
      <w:pPr>
        <w:pStyle w:val="Cmsor2"/>
        <w:jc w:val="both"/>
      </w:pPr>
      <w:r w:rsidRPr="00A655C7">
        <w:t>3.1 Key Components</w:t>
      </w:r>
    </w:p>
    <w:p w:rsidR="00A655C7" w:rsidRPr="00A655C7" w:rsidRDefault="00A655C7" w:rsidP="00A4435D">
      <w:pPr>
        <w:numPr>
          <w:ilvl w:val="0"/>
          <w:numId w:val="14"/>
        </w:numPr>
        <w:jc w:val="both"/>
      </w:pPr>
      <w:r w:rsidRPr="00A655C7">
        <w:t>External 14-bit ADC: ADS9234RIRHBR, a 14-bit, 3.5-MSPS dual SAR ADC with simultaneous sampling, internal reference, and enhanced SPI for high-speed acquisition.</w:t>
      </w:r>
    </w:p>
    <w:p w:rsidR="00A655C7" w:rsidRPr="00A655C7" w:rsidRDefault="00A655C7" w:rsidP="00A4435D">
      <w:pPr>
        <w:numPr>
          <w:ilvl w:val="0"/>
          <w:numId w:val="14"/>
        </w:numPr>
        <w:jc w:val="both"/>
      </w:pPr>
      <w:r w:rsidRPr="00A655C7">
        <w:t>Multiplexers: 2 × DG409 for channel selection, enabling flexible signal routing to the ADC.</w:t>
      </w:r>
    </w:p>
    <w:p w:rsidR="00A655C7" w:rsidRPr="00A655C7" w:rsidRDefault="00A655C7" w:rsidP="00A4435D">
      <w:pPr>
        <w:numPr>
          <w:ilvl w:val="0"/>
          <w:numId w:val="14"/>
        </w:numPr>
        <w:jc w:val="both"/>
      </w:pPr>
      <w:r w:rsidRPr="00A655C7">
        <w:t>Programmable Gain Amplifiers (PGA): ADA4254ACPZ for scalable input ranges, ensuring adaptability to different signal levels.</w:t>
      </w:r>
    </w:p>
    <w:p w:rsidR="00A655C7" w:rsidRPr="00A655C7" w:rsidRDefault="00A655C7" w:rsidP="00A4435D">
      <w:pPr>
        <w:pStyle w:val="Cmsor2"/>
        <w:jc w:val="both"/>
      </w:pPr>
      <w:r w:rsidRPr="00A655C7">
        <w:lastRenderedPageBreak/>
        <w:t>3.2 ADC Communication &amp; Control</w:t>
      </w:r>
    </w:p>
    <w:p w:rsidR="00A655C7" w:rsidRPr="00A655C7" w:rsidRDefault="00A655C7" w:rsidP="00A4435D">
      <w:pPr>
        <w:numPr>
          <w:ilvl w:val="0"/>
          <w:numId w:val="15"/>
        </w:numPr>
        <w:jc w:val="both"/>
      </w:pPr>
      <w:r w:rsidRPr="00A655C7">
        <w:t>SPI Interface:</w:t>
      </w:r>
    </w:p>
    <w:p w:rsidR="00A655C7" w:rsidRPr="00A655C7" w:rsidRDefault="00A655C7" w:rsidP="00A4435D">
      <w:pPr>
        <w:numPr>
          <w:ilvl w:val="1"/>
          <w:numId w:val="15"/>
        </w:numPr>
        <w:jc w:val="both"/>
      </w:pPr>
      <w:r w:rsidRPr="00A655C7">
        <w:t>SCLK (Clock Signal)</w:t>
      </w:r>
    </w:p>
    <w:p w:rsidR="00A655C7" w:rsidRPr="00A655C7" w:rsidRDefault="00A655C7" w:rsidP="00A4435D">
      <w:pPr>
        <w:numPr>
          <w:ilvl w:val="1"/>
          <w:numId w:val="15"/>
        </w:numPr>
        <w:jc w:val="both"/>
      </w:pPr>
      <w:r w:rsidRPr="00A655C7">
        <w:t>MOSI (Master Out Slave In)</w:t>
      </w:r>
    </w:p>
    <w:p w:rsidR="00A655C7" w:rsidRPr="00A655C7" w:rsidRDefault="00A655C7" w:rsidP="00A4435D">
      <w:pPr>
        <w:numPr>
          <w:ilvl w:val="1"/>
          <w:numId w:val="15"/>
        </w:numPr>
        <w:jc w:val="both"/>
      </w:pPr>
      <w:r w:rsidRPr="00A655C7">
        <w:t xml:space="preserve">MISO (Master </w:t>
      </w:r>
      <w:proofErr w:type="gramStart"/>
      <w:r w:rsidRPr="00A655C7">
        <w:t>In</w:t>
      </w:r>
      <w:proofErr w:type="gramEnd"/>
      <w:r w:rsidRPr="00A655C7">
        <w:t xml:space="preserve"> Slave Out)</w:t>
      </w:r>
    </w:p>
    <w:p w:rsidR="00A655C7" w:rsidRPr="00A655C7" w:rsidRDefault="00A655C7" w:rsidP="00A4435D">
      <w:pPr>
        <w:numPr>
          <w:ilvl w:val="1"/>
          <w:numId w:val="15"/>
        </w:numPr>
        <w:jc w:val="both"/>
      </w:pPr>
      <w:r w:rsidRPr="00A655C7">
        <w:t>CS (Chip Select)</w:t>
      </w:r>
    </w:p>
    <w:p w:rsidR="00A655C7" w:rsidRPr="00A655C7" w:rsidRDefault="00A655C7" w:rsidP="00A4435D">
      <w:pPr>
        <w:numPr>
          <w:ilvl w:val="0"/>
          <w:numId w:val="15"/>
        </w:numPr>
        <w:jc w:val="both"/>
      </w:pPr>
      <w:r w:rsidRPr="00A655C7">
        <w:t>Control Signals:</w:t>
      </w:r>
    </w:p>
    <w:p w:rsidR="00A655C7" w:rsidRPr="00A655C7" w:rsidRDefault="00A655C7" w:rsidP="00A4435D">
      <w:pPr>
        <w:numPr>
          <w:ilvl w:val="1"/>
          <w:numId w:val="15"/>
        </w:numPr>
        <w:jc w:val="both"/>
      </w:pPr>
      <w:r w:rsidRPr="00A655C7">
        <w:t>ADC_RDY: Data ready indication</w:t>
      </w:r>
    </w:p>
    <w:p w:rsidR="00A655C7" w:rsidRPr="00A655C7" w:rsidRDefault="00A655C7" w:rsidP="00A4435D">
      <w:pPr>
        <w:numPr>
          <w:ilvl w:val="1"/>
          <w:numId w:val="15"/>
        </w:numPr>
        <w:jc w:val="both"/>
      </w:pPr>
      <w:r w:rsidRPr="00A655C7">
        <w:t>ADC_RST: Reset signal</w:t>
      </w:r>
    </w:p>
    <w:p w:rsidR="00A655C7" w:rsidRPr="00A655C7" w:rsidRDefault="00A655C7" w:rsidP="00A4435D">
      <w:pPr>
        <w:numPr>
          <w:ilvl w:val="1"/>
          <w:numId w:val="15"/>
        </w:numPr>
        <w:jc w:val="both"/>
      </w:pPr>
      <w:r w:rsidRPr="00A655C7">
        <w:t>MISO_SEL: Selects the correct SPI MISO line</w:t>
      </w:r>
    </w:p>
    <w:p w:rsidR="00A655C7" w:rsidRPr="00A655C7" w:rsidRDefault="00A655C7" w:rsidP="00A4435D">
      <w:pPr>
        <w:ind w:left="1440"/>
        <w:jc w:val="both"/>
      </w:pPr>
    </w:p>
    <w:p w:rsidR="00A655C7" w:rsidRPr="00A655C7" w:rsidRDefault="00A655C7" w:rsidP="00A4435D">
      <w:pPr>
        <w:pStyle w:val="Cmsor2"/>
        <w:jc w:val="both"/>
      </w:pPr>
      <w:r w:rsidRPr="00A655C7">
        <w:t>3.3 Analog Input Switching Mechanism (Differential and Single-Ended Mode)</w:t>
      </w:r>
    </w:p>
    <w:p w:rsidR="00A655C7" w:rsidRPr="00A655C7" w:rsidRDefault="00A655C7" w:rsidP="00A4435D">
      <w:pPr>
        <w:jc w:val="both"/>
      </w:pPr>
      <w:r w:rsidRPr="00A655C7">
        <w:t>To maximize the flexibility of the system while maintaining accurate signal acquisition, a DG409 multiplexer is used to route the selected input signal to the ADA4254 programmable gain amplifier (PGA) before being fed into the ADS9234 ADC.</w:t>
      </w:r>
    </w:p>
    <w:p w:rsidR="00A655C7" w:rsidRDefault="00A655C7" w:rsidP="00A4435D">
      <w:pPr>
        <w:jc w:val="both"/>
      </w:pPr>
      <w:r w:rsidRPr="00A655C7">
        <w:t>Each DG409 consists of four normally open SPST switches that can be controlled digitally. The AI+ signals are routed through the upper switch bank, while the corresponding AI- signals are routed through the lower switch bank. For differential measurements, both AI+ and AI- channels are selected. For single-ended measurements, either AI+ or AI- can be selected, while the unselected input is connected to ground.</w:t>
      </w:r>
    </w:p>
    <w:p w:rsidR="00A655C7" w:rsidRPr="00A655C7" w:rsidRDefault="00A655C7" w:rsidP="00A4435D">
      <w:pPr>
        <w:jc w:val="both"/>
      </w:pPr>
    </w:p>
    <w:p w:rsidR="00A655C7" w:rsidRPr="00A655C7" w:rsidRDefault="00A655C7" w:rsidP="00A4435D">
      <w:pPr>
        <w:pStyle w:val="Cmsor2"/>
        <w:jc w:val="both"/>
      </w:pPr>
      <w:r w:rsidRPr="00A655C7">
        <w:t>3.4 Channel Selection Control (Differential and Single-Ended)</w:t>
      </w:r>
    </w:p>
    <w:p w:rsidR="00A655C7" w:rsidRPr="00A655C7" w:rsidRDefault="00A655C7" w:rsidP="00A4435D">
      <w:pPr>
        <w:jc w:val="both"/>
      </w:pPr>
      <w:r w:rsidRPr="00A655C7">
        <w:t>The DG409 multiplexer allows the selection of one of four differential input pairs or a single-ended configuration. The selection is made via two digital control inputs (A0, A1), which follow the logic below:</w:t>
      </w:r>
    </w:p>
    <w:p w:rsidR="00A655C7" w:rsidRDefault="00A655C7" w:rsidP="00A4435D">
      <w:pPr>
        <w:jc w:val="both"/>
        <w:rPr>
          <w:b/>
          <w:bCs/>
        </w:rPr>
      </w:pPr>
      <w:r>
        <w:rPr>
          <w:b/>
          <w:bCs/>
        </w:rPr>
        <w:br w:type="page"/>
      </w:r>
    </w:p>
    <w:p w:rsidR="00A655C7" w:rsidRPr="00A655C7" w:rsidRDefault="00A655C7" w:rsidP="00A4435D">
      <w:pPr>
        <w:jc w:val="both"/>
        <w:rPr>
          <w:b/>
          <w:bCs/>
        </w:rPr>
      </w:pPr>
      <w:r w:rsidRPr="00A655C7">
        <w:rPr>
          <w:b/>
          <w:bCs/>
        </w:rPr>
        <w:lastRenderedPageBreak/>
        <w:t>Differential Input Mode</w:t>
      </w:r>
      <w:r w:rsidR="00A4435D">
        <w:rPr>
          <w:b/>
          <w:bCs/>
        </w:rPr>
        <w:t xml:space="preserve"> </w:t>
      </w:r>
      <w:r w:rsidR="00A4435D">
        <w:rPr>
          <w:b/>
          <w:bCs/>
        </w:rPr>
        <w:tab/>
      </w:r>
      <w:r w:rsidR="00A4435D">
        <w:rPr>
          <w:b/>
          <w:bCs/>
        </w:rPr>
        <w:tab/>
      </w:r>
      <w:r w:rsidR="00A4435D">
        <w:rPr>
          <w:b/>
          <w:bCs/>
        </w:rPr>
        <w:tab/>
      </w:r>
      <w:r w:rsidR="00A4435D">
        <w:rPr>
          <w:b/>
          <w:bCs/>
        </w:rPr>
        <w:tab/>
      </w:r>
      <w:r w:rsidR="00A4435D" w:rsidRPr="00A655C7">
        <w:rPr>
          <w:b/>
          <w:bCs/>
        </w:rPr>
        <w:t>Single-Ended Input Mode</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35"/>
        <w:gridCol w:w="540"/>
        <w:gridCol w:w="2625"/>
      </w:tblGrid>
      <w:tr w:rsidR="00476193" w:rsidRPr="00A655C7" w:rsidTr="00A4435D">
        <w:trPr>
          <w:tblCellSpacing w:w="15" w:type="dxa"/>
        </w:trPr>
        <w:tc>
          <w:tcPr>
            <w:tcW w:w="490" w:type="dxa"/>
            <w:vAlign w:val="center"/>
            <w:hideMark/>
          </w:tcPr>
          <w:p w:rsidR="00A655C7" w:rsidRPr="00A655C7" w:rsidRDefault="00A655C7" w:rsidP="00A4435D">
            <w:pPr>
              <w:spacing w:after="0" w:line="240" w:lineRule="auto"/>
              <w:jc w:val="center"/>
            </w:pPr>
            <w:r w:rsidRPr="00A655C7">
              <w:t>A1</w:t>
            </w:r>
          </w:p>
        </w:tc>
        <w:tc>
          <w:tcPr>
            <w:tcW w:w="510" w:type="dxa"/>
            <w:vAlign w:val="center"/>
            <w:hideMark/>
          </w:tcPr>
          <w:p w:rsidR="00A655C7" w:rsidRPr="00A655C7" w:rsidRDefault="00A655C7" w:rsidP="00A4435D">
            <w:pPr>
              <w:spacing w:after="0" w:line="240" w:lineRule="auto"/>
              <w:jc w:val="center"/>
            </w:pPr>
            <w:r w:rsidRPr="00A655C7">
              <w:t>A0</w:t>
            </w:r>
          </w:p>
        </w:tc>
        <w:tc>
          <w:tcPr>
            <w:tcW w:w="2580" w:type="dxa"/>
            <w:vAlign w:val="center"/>
            <w:hideMark/>
          </w:tcPr>
          <w:p w:rsidR="00A655C7" w:rsidRPr="00A655C7" w:rsidRDefault="00A655C7" w:rsidP="00A4435D">
            <w:pPr>
              <w:spacing w:after="0" w:line="240" w:lineRule="auto"/>
              <w:jc w:val="center"/>
            </w:pPr>
            <w:r w:rsidRPr="00A655C7">
              <w:t>Selected AI+ / AI- Pair</w:t>
            </w:r>
          </w:p>
        </w:tc>
      </w:tr>
      <w:tr w:rsidR="00476193" w:rsidRPr="00A655C7" w:rsidTr="00A4435D">
        <w:trPr>
          <w:tblCellSpacing w:w="15" w:type="dxa"/>
        </w:trPr>
        <w:tc>
          <w:tcPr>
            <w:tcW w:w="490" w:type="dxa"/>
            <w:vAlign w:val="center"/>
            <w:hideMark/>
          </w:tcPr>
          <w:p w:rsidR="00A655C7" w:rsidRPr="00A655C7" w:rsidRDefault="00A655C7" w:rsidP="00A4435D">
            <w:pPr>
              <w:spacing w:after="0" w:line="240" w:lineRule="auto"/>
              <w:jc w:val="center"/>
            </w:pPr>
            <w:r w:rsidRPr="00A655C7">
              <w:t>0</w:t>
            </w:r>
          </w:p>
        </w:tc>
        <w:tc>
          <w:tcPr>
            <w:tcW w:w="510" w:type="dxa"/>
            <w:vAlign w:val="center"/>
            <w:hideMark/>
          </w:tcPr>
          <w:p w:rsidR="00A655C7" w:rsidRPr="00A655C7" w:rsidRDefault="00A655C7" w:rsidP="00A4435D">
            <w:pPr>
              <w:spacing w:after="0" w:line="240" w:lineRule="auto"/>
              <w:jc w:val="center"/>
            </w:pPr>
            <w:r w:rsidRPr="00A655C7">
              <w:t>0</w:t>
            </w:r>
          </w:p>
        </w:tc>
        <w:tc>
          <w:tcPr>
            <w:tcW w:w="2580" w:type="dxa"/>
            <w:vAlign w:val="center"/>
            <w:hideMark/>
          </w:tcPr>
          <w:p w:rsidR="00A655C7" w:rsidRPr="00A655C7" w:rsidRDefault="00A655C7" w:rsidP="00A4435D">
            <w:pPr>
              <w:spacing w:after="0" w:line="240" w:lineRule="auto"/>
              <w:jc w:val="center"/>
            </w:pPr>
            <w:r w:rsidRPr="00A655C7">
              <w:t>AI1+ / AI2-</w:t>
            </w:r>
          </w:p>
        </w:tc>
      </w:tr>
      <w:tr w:rsidR="00476193" w:rsidRPr="00A655C7" w:rsidTr="00A4435D">
        <w:trPr>
          <w:tblCellSpacing w:w="15" w:type="dxa"/>
        </w:trPr>
        <w:tc>
          <w:tcPr>
            <w:tcW w:w="490" w:type="dxa"/>
            <w:vAlign w:val="center"/>
            <w:hideMark/>
          </w:tcPr>
          <w:p w:rsidR="00A655C7" w:rsidRPr="00A655C7" w:rsidRDefault="00A655C7" w:rsidP="00A4435D">
            <w:pPr>
              <w:spacing w:after="0" w:line="240" w:lineRule="auto"/>
              <w:jc w:val="center"/>
            </w:pPr>
            <w:r w:rsidRPr="00A655C7">
              <w:t>0</w:t>
            </w:r>
          </w:p>
        </w:tc>
        <w:tc>
          <w:tcPr>
            <w:tcW w:w="510" w:type="dxa"/>
            <w:vAlign w:val="center"/>
            <w:hideMark/>
          </w:tcPr>
          <w:p w:rsidR="00A655C7" w:rsidRPr="00A655C7" w:rsidRDefault="00A655C7" w:rsidP="00A4435D">
            <w:pPr>
              <w:spacing w:after="0" w:line="240" w:lineRule="auto"/>
              <w:jc w:val="center"/>
            </w:pPr>
            <w:r w:rsidRPr="00A655C7">
              <w:t>1</w:t>
            </w:r>
          </w:p>
        </w:tc>
        <w:tc>
          <w:tcPr>
            <w:tcW w:w="2580" w:type="dxa"/>
            <w:vAlign w:val="center"/>
            <w:hideMark/>
          </w:tcPr>
          <w:p w:rsidR="00A655C7" w:rsidRPr="00A655C7" w:rsidRDefault="00A655C7" w:rsidP="00A4435D">
            <w:pPr>
              <w:spacing w:after="0" w:line="240" w:lineRule="auto"/>
              <w:jc w:val="center"/>
            </w:pPr>
            <w:r w:rsidRPr="00A655C7">
              <w:t>AI3+ / AI4-</w:t>
            </w:r>
          </w:p>
        </w:tc>
      </w:tr>
      <w:tr w:rsidR="00476193" w:rsidRPr="00A655C7" w:rsidTr="00A4435D">
        <w:trPr>
          <w:tblCellSpacing w:w="15" w:type="dxa"/>
        </w:trPr>
        <w:tc>
          <w:tcPr>
            <w:tcW w:w="490" w:type="dxa"/>
            <w:vAlign w:val="center"/>
            <w:hideMark/>
          </w:tcPr>
          <w:p w:rsidR="00A655C7" w:rsidRPr="00A655C7" w:rsidRDefault="00A655C7" w:rsidP="00A4435D">
            <w:pPr>
              <w:spacing w:after="0" w:line="240" w:lineRule="auto"/>
              <w:jc w:val="center"/>
            </w:pPr>
            <w:r w:rsidRPr="00A655C7">
              <w:t>1</w:t>
            </w:r>
          </w:p>
        </w:tc>
        <w:tc>
          <w:tcPr>
            <w:tcW w:w="510" w:type="dxa"/>
            <w:vAlign w:val="center"/>
            <w:hideMark/>
          </w:tcPr>
          <w:p w:rsidR="00A655C7" w:rsidRPr="00A655C7" w:rsidRDefault="00A655C7" w:rsidP="00A4435D">
            <w:pPr>
              <w:spacing w:after="0" w:line="240" w:lineRule="auto"/>
              <w:jc w:val="center"/>
            </w:pPr>
            <w:r w:rsidRPr="00A655C7">
              <w:t>0</w:t>
            </w:r>
          </w:p>
        </w:tc>
        <w:tc>
          <w:tcPr>
            <w:tcW w:w="2580" w:type="dxa"/>
            <w:vAlign w:val="center"/>
            <w:hideMark/>
          </w:tcPr>
          <w:p w:rsidR="00A655C7" w:rsidRPr="00A655C7" w:rsidRDefault="00A655C7" w:rsidP="00A4435D">
            <w:pPr>
              <w:spacing w:after="0" w:line="240" w:lineRule="auto"/>
              <w:jc w:val="center"/>
            </w:pPr>
            <w:r w:rsidRPr="00A655C7">
              <w:t>AI5+ / AI6-</w:t>
            </w:r>
          </w:p>
        </w:tc>
      </w:tr>
      <w:tr w:rsidR="00476193" w:rsidRPr="00A655C7" w:rsidTr="00A4435D">
        <w:trPr>
          <w:tblCellSpacing w:w="15" w:type="dxa"/>
        </w:trPr>
        <w:tc>
          <w:tcPr>
            <w:tcW w:w="490" w:type="dxa"/>
            <w:vAlign w:val="center"/>
            <w:hideMark/>
          </w:tcPr>
          <w:p w:rsidR="00A655C7" w:rsidRPr="00A655C7" w:rsidRDefault="00A655C7" w:rsidP="00A4435D">
            <w:pPr>
              <w:spacing w:after="0" w:line="240" w:lineRule="auto"/>
              <w:jc w:val="center"/>
            </w:pPr>
            <w:r w:rsidRPr="00A655C7">
              <w:t>1</w:t>
            </w:r>
          </w:p>
        </w:tc>
        <w:tc>
          <w:tcPr>
            <w:tcW w:w="510" w:type="dxa"/>
            <w:vAlign w:val="center"/>
            <w:hideMark/>
          </w:tcPr>
          <w:p w:rsidR="00A655C7" w:rsidRPr="00A655C7" w:rsidRDefault="00A655C7" w:rsidP="00A4435D">
            <w:pPr>
              <w:spacing w:after="0" w:line="240" w:lineRule="auto"/>
              <w:jc w:val="center"/>
            </w:pPr>
            <w:r w:rsidRPr="00A655C7">
              <w:t>1</w:t>
            </w:r>
          </w:p>
        </w:tc>
        <w:tc>
          <w:tcPr>
            <w:tcW w:w="2580" w:type="dxa"/>
            <w:vAlign w:val="center"/>
            <w:hideMark/>
          </w:tcPr>
          <w:p w:rsidR="00A655C7" w:rsidRPr="00A655C7" w:rsidRDefault="00A655C7" w:rsidP="00A4435D">
            <w:pPr>
              <w:spacing w:after="0" w:line="240" w:lineRule="auto"/>
              <w:jc w:val="center"/>
            </w:pPr>
            <w:r w:rsidRPr="00A655C7">
              <w:t>AI7+ / AI8-</w:t>
            </w:r>
          </w:p>
        </w:tc>
      </w:tr>
    </w:tbl>
    <w:tbl>
      <w:tblPr>
        <w:tblpPr w:leftFromText="180" w:rightFromText="180" w:vertAnchor="text" w:horzAnchor="page" w:tblpX="5485" w:tblpY="-190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25"/>
        <w:gridCol w:w="720"/>
        <w:gridCol w:w="1890"/>
        <w:gridCol w:w="2160"/>
      </w:tblGrid>
      <w:tr w:rsidR="00A4435D" w:rsidRPr="00A655C7" w:rsidTr="00A4435D">
        <w:trPr>
          <w:tblCellSpacing w:w="15" w:type="dxa"/>
        </w:trPr>
        <w:tc>
          <w:tcPr>
            <w:tcW w:w="580" w:type="dxa"/>
            <w:vAlign w:val="center"/>
            <w:hideMark/>
          </w:tcPr>
          <w:p w:rsidR="00A4435D" w:rsidRPr="00A655C7" w:rsidRDefault="00A4435D" w:rsidP="00A4435D">
            <w:pPr>
              <w:spacing w:after="0" w:line="240" w:lineRule="auto"/>
              <w:jc w:val="center"/>
            </w:pPr>
            <w:r w:rsidRPr="00A655C7">
              <w:t>A1</w:t>
            </w:r>
          </w:p>
        </w:tc>
        <w:tc>
          <w:tcPr>
            <w:tcW w:w="690" w:type="dxa"/>
            <w:vAlign w:val="center"/>
            <w:hideMark/>
          </w:tcPr>
          <w:p w:rsidR="00A4435D" w:rsidRPr="00A655C7" w:rsidRDefault="00A4435D" w:rsidP="00A4435D">
            <w:pPr>
              <w:spacing w:after="0" w:line="240" w:lineRule="auto"/>
              <w:jc w:val="center"/>
            </w:pPr>
            <w:r w:rsidRPr="00A655C7">
              <w:t>A0</w:t>
            </w:r>
          </w:p>
        </w:tc>
        <w:tc>
          <w:tcPr>
            <w:tcW w:w="1860" w:type="dxa"/>
            <w:vAlign w:val="center"/>
            <w:hideMark/>
          </w:tcPr>
          <w:p w:rsidR="00A4435D" w:rsidRPr="00A655C7" w:rsidRDefault="00A4435D" w:rsidP="00A4435D">
            <w:pPr>
              <w:spacing w:after="0" w:line="240" w:lineRule="auto"/>
              <w:jc w:val="center"/>
            </w:pPr>
            <w:r w:rsidRPr="00A655C7">
              <w:t>Selected Input</w:t>
            </w:r>
          </w:p>
        </w:tc>
        <w:tc>
          <w:tcPr>
            <w:tcW w:w="2115" w:type="dxa"/>
            <w:vAlign w:val="center"/>
            <w:hideMark/>
          </w:tcPr>
          <w:p w:rsidR="00A4435D" w:rsidRPr="00A655C7" w:rsidRDefault="00A4435D" w:rsidP="00A4435D">
            <w:pPr>
              <w:spacing w:after="0" w:line="240" w:lineRule="auto"/>
              <w:jc w:val="center"/>
            </w:pPr>
            <w:r w:rsidRPr="00A655C7">
              <w:t xml:space="preserve">Other Input </w:t>
            </w:r>
          </w:p>
        </w:tc>
      </w:tr>
      <w:tr w:rsidR="00A4435D" w:rsidRPr="00A655C7" w:rsidTr="00A4435D">
        <w:trPr>
          <w:tblCellSpacing w:w="15" w:type="dxa"/>
        </w:trPr>
        <w:tc>
          <w:tcPr>
            <w:tcW w:w="580" w:type="dxa"/>
            <w:vAlign w:val="center"/>
            <w:hideMark/>
          </w:tcPr>
          <w:p w:rsidR="00A4435D" w:rsidRPr="00A655C7" w:rsidRDefault="00A4435D" w:rsidP="00A4435D">
            <w:pPr>
              <w:spacing w:after="0" w:line="240" w:lineRule="auto"/>
              <w:jc w:val="center"/>
            </w:pPr>
            <w:r w:rsidRPr="00A655C7">
              <w:t>0</w:t>
            </w:r>
          </w:p>
        </w:tc>
        <w:tc>
          <w:tcPr>
            <w:tcW w:w="690" w:type="dxa"/>
            <w:vAlign w:val="center"/>
            <w:hideMark/>
          </w:tcPr>
          <w:p w:rsidR="00A4435D" w:rsidRPr="00A655C7" w:rsidRDefault="00A4435D" w:rsidP="00A4435D">
            <w:pPr>
              <w:spacing w:after="0" w:line="240" w:lineRule="auto"/>
              <w:jc w:val="center"/>
            </w:pPr>
            <w:r w:rsidRPr="00A655C7">
              <w:t>0</w:t>
            </w:r>
          </w:p>
        </w:tc>
        <w:tc>
          <w:tcPr>
            <w:tcW w:w="1860" w:type="dxa"/>
            <w:vAlign w:val="center"/>
            <w:hideMark/>
          </w:tcPr>
          <w:p w:rsidR="00A4435D" w:rsidRPr="00A655C7" w:rsidRDefault="00A4435D" w:rsidP="00A4435D">
            <w:pPr>
              <w:spacing w:after="0" w:line="240" w:lineRule="auto"/>
              <w:jc w:val="center"/>
            </w:pPr>
            <w:r w:rsidRPr="00A655C7">
              <w:t>AI1+ or AI2-</w:t>
            </w:r>
          </w:p>
        </w:tc>
        <w:tc>
          <w:tcPr>
            <w:tcW w:w="2115" w:type="dxa"/>
            <w:vAlign w:val="center"/>
            <w:hideMark/>
          </w:tcPr>
          <w:p w:rsidR="00A4435D" w:rsidRPr="00A655C7" w:rsidRDefault="00A4435D" w:rsidP="00A4435D">
            <w:pPr>
              <w:spacing w:after="0" w:line="240" w:lineRule="auto"/>
              <w:jc w:val="center"/>
            </w:pPr>
            <w:r w:rsidRPr="00A655C7">
              <w:t>GND</w:t>
            </w:r>
          </w:p>
        </w:tc>
      </w:tr>
      <w:tr w:rsidR="00A4435D" w:rsidRPr="00A655C7" w:rsidTr="00A4435D">
        <w:trPr>
          <w:tblCellSpacing w:w="15" w:type="dxa"/>
        </w:trPr>
        <w:tc>
          <w:tcPr>
            <w:tcW w:w="580" w:type="dxa"/>
            <w:vAlign w:val="center"/>
            <w:hideMark/>
          </w:tcPr>
          <w:p w:rsidR="00A4435D" w:rsidRPr="00A655C7" w:rsidRDefault="00A4435D" w:rsidP="00A4435D">
            <w:pPr>
              <w:spacing w:after="0" w:line="240" w:lineRule="auto"/>
              <w:jc w:val="center"/>
            </w:pPr>
            <w:r w:rsidRPr="00A655C7">
              <w:t>0</w:t>
            </w:r>
          </w:p>
        </w:tc>
        <w:tc>
          <w:tcPr>
            <w:tcW w:w="690" w:type="dxa"/>
            <w:vAlign w:val="center"/>
            <w:hideMark/>
          </w:tcPr>
          <w:p w:rsidR="00A4435D" w:rsidRPr="00A655C7" w:rsidRDefault="00A4435D" w:rsidP="00A4435D">
            <w:pPr>
              <w:spacing w:after="0" w:line="240" w:lineRule="auto"/>
              <w:jc w:val="center"/>
            </w:pPr>
            <w:r w:rsidRPr="00A655C7">
              <w:t>1</w:t>
            </w:r>
          </w:p>
        </w:tc>
        <w:tc>
          <w:tcPr>
            <w:tcW w:w="1860" w:type="dxa"/>
            <w:vAlign w:val="center"/>
            <w:hideMark/>
          </w:tcPr>
          <w:p w:rsidR="00A4435D" w:rsidRPr="00A655C7" w:rsidRDefault="00A4435D" w:rsidP="00A4435D">
            <w:pPr>
              <w:spacing w:after="0" w:line="240" w:lineRule="auto"/>
              <w:jc w:val="center"/>
            </w:pPr>
            <w:r w:rsidRPr="00A655C7">
              <w:t>AI3+ or AI4-</w:t>
            </w:r>
          </w:p>
        </w:tc>
        <w:tc>
          <w:tcPr>
            <w:tcW w:w="2115" w:type="dxa"/>
            <w:vAlign w:val="center"/>
            <w:hideMark/>
          </w:tcPr>
          <w:p w:rsidR="00A4435D" w:rsidRPr="00A655C7" w:rsidRDefault="00A4435D" w:rsidP="00A4435D">
            <w:pPr>
              <w:spacing w:after="0" w:line="240" w:lineRule="auto"/>
              <w:jc w:val="center"/>
            </w:pPr>
            <w:r w:rsidRPr="00A655C7">
              <w:t>GND</w:t>
            </w:r>
          </w:p>
        </w:tc>
      </w:tr>
      <w:tr w:rsidR="00A4435D" w:rsidRPr="00A655C7" w:rsidTr="00A4435D">
        <w:trPr>
          <w:tblCellSpacing w:w="15" w:type="dxa"/>
        </w:trPr>
        <w:tc>
          <w:tcPr>
            <w:tcW w:w="580" w:type="dxa"/>
            <w:vAlign w:val="center"/>
            <w:hideMark/>
          </w:tcPr>
          <w:p w:rsidR="00A4435D" w:rsidRPr="00A655C7" w:rsidRDefault="00A4435D" w:rsidP="00A4435D">
            <w:pPr>
              <w:spacing w:after="0" w:line="240" w:lineRule="auto"/>
              <w:jc w:val="center"/>
            </w:pPr>
            <w:r w:rsidRPr="00A655C7">
              <w:t>1</w:t>
            </w:r>
          </w:p>
        </w:tc>
        <w:tc>
          <w:tcPr>
            <w:tcW w:w="690" w:type="dxa"/>
            <w:vAlign w:val="center"/>
            <w:hideMark/>
          </w:tcPr>
          <w:p w:rsidR="00A4435D" w:rsidRPr="00A655C7" w:rsidRDefault="00A4435D" w:rsidP="00A4435D">
            <w:pPr>
              <w:spacing w:after="0" w:line="240" w:lineRule="auto"/>
              <w:jc w:val="center"/>
            </w:pPr>
            <w:r w:rsidRPr="00A655C7">
              <w:t>0</w:t>
            </w:r>
          </w:p>
        </w:tc>
        <w:tc>
          <w:tcPr>
            <w:tcW w:w="1860" w:type="dxa"/>
            <w:vAlign w:val="center"/>
            <w:hideMark/>
          </w:tcPr>
          <w:p w:rsidR="00A4435D" w:rsidRPr="00A655C7" w:rsidRDefault="00A4435D" w:rsidP="00A4435D">
            <w:pPr>
              <w:spacing w:after="0" w:line="240" w:lineRule="auto"/>
              <w:jc w:val="center"/>
            </w:pPr>
            <w:r w:rsidRPr="00A655C7">
              <w:t>AI5+ or AI6-</w:t>
            </w:r>
          </w:p>
        </w:tc>
        <w:tc>
          <w:tcPr>
            <w:tcW w:w="2115" w:type="dxa"/>
            <w:vAlign w:val="center"/>
            <w:hideMark/>
          </w:tcPr>
          <w:p w:rsidR="00A4435D" w:rsidRPr="00A655C7" w:rsidRDefault="00A4435D" w:rsidP="00A4435D">
            <w:pPr>
              <w:spacing w:after="0" w:line="240" w:lineRule="auto"/>
              <w:jc w:val="center"/>
            </w:pPr>
            <w:r w:rsidRPr="00A655C7">
              <w:t>GND</w:t>
            </w:r>
          </w:p>
        </w:tc>
      </w:tr>
      <w:tr w:rsidR="00A4435D" w:rsidRPr="00A655C7" w:rsidTr="00A4435D">
        <w:trPr>
          <w:tblCellSpacing w:w="15" w:type="dxa"/>
        </w:trPr>
        <w:tc>
          <w:tcPr>
            <w:tcW w:w="580" w:type="dxa"/>
            <w:vAlign w:val="center"/>
            <w:hideMark/>
          </w:tcPr>
          <w:p w:rsidR="00A4435D" w:rsidRPr="00A655C7" w:rsidRDefault="00A4435D" w:rsidP="00A4435D">
            <w:pPr>
              <w:spacing w:after="0" w:line="240" w:lineRule="auto"/>
              <w:jc w:val="center"/>
            </w:pPr>
            <w:r w:rsidRPr="00A655C7">
              <w:t>1</w:t>
            </w:r>
          </w:p>
        </w:tc>
        <w:tc>
          <w:tcPr>
            <w:tcW w:w="690" w:type="dxa"/>
            <w:vAlign w:val="center"/>
            <w:hideMark/>
          </w:tcPr>
          <w:p w:rsidR="00A4435D" w:rsidRPr="00A655C7" w:rsidRDefault="00A4435D" w:rsidP="00A4435D">
            <w:pPr>
              <w:spacing w:after="0" w:line="240" w:lineRule="auto"/>
              <w:jc w:val="center"/>
            </w:pPr>
            <w:r w:rsidRPr="00A655C7">
              <w:t>1</w:t>
            </w:r>
          </w:p>
        </w:tc>
        <w:tc>
          <w:tcPr>
            <w:tcW w:w="1860" w:type="dxa"/>
            <w:vAlign w:val="center"/>
            <w:hideMark/>
          </w:tcPr>
          <w:p w:rsidR="00A4435D" w:rsidRPr="00A655C7" w:rsidRDefault="00A4435D" w:rsidP="00A4435D">
            <w:pPr>
              <w:spacing w:after="0" w:line="240" w:lineRule="auto"/>
              <w:jc w:val="center"/>
            </w:pPr>
            <w:r w:rsidRPr="00A655C7">
              <w:t>AI7+ or AI8-</w:t>
            </w:r>
          </w:p>
        </w:tc>
        <w:tc>
          <w:tcPr>
            <w:tcW w:w="2115" w:type="dxa"/>
            <w:vAlign w:val="center"/>
            <w:hideMark/>
          </w:tcPr>
          <w:p w:rsidR="00A4435D" w:rsidRPr="00A655C7" w:rsidRDefault="00A4435D" w:rsidP="00A4435D">
            <w:pPr>
              <w:spacing w:after="0" w:line="240" w:lineRule="auto"/>
              <w:jc w:val="center"/>
            </w:pPr>
            <w:r w:rsidRPr="00A655C7">
              <w:t>GND</w:t>
            </w:r>
          </w:p>
        </w:tc>
      </w:tr>
    </w:tbl>
    <w:p w:rsidR="00A655C7" w:rsidRDefault="0045720E" w:rsidP="00A4435D">
      <w:pPr>
        <w:jc w:val="both"/>
      </w:pPr>
      <w:r>
        <w:br/>
      </w:r>
      <w:r w:rsidR="00A655C7" w:rsidRPr="00A655C7">
        <w:t>By setting the control signals A0 and A1 correctly, any of the available differential or single-ended inputs can be connected to the PGA and ADC. The multiplexer transitions occur within 160ns, ensuring minimal signal delay.</w:t>
      </w:r>
    </w:p>
    <w:p w:rsidR="00476193" w:rsidRPr="00A655C7" w:rsidRDefault="00476193" w:rsidP="00A4435D">
      <w:pPr>
        <w:pStyle w:val="Nincstrkz"/>
      </w:pPr>
    </w:p>
    <w:p w:rsidR="00A655C7" w:rsidRPr="00A655C7" w:rsidRDefault="00A655C7" w:rsidP="00A4435D">
      <w:pPr>
        <w:pStyle w:val="Cmsor2"/>
        <w:jc w:val="both"/>
      </w:pPr>
      <w:r w:rsidRPr="00A655C7">
        <w:t>3.5 Software Control of Channel Selection</w:t>
      </w:r>
    </w:p>
    <w:p w:rsidR="00A655C7" w:rsidRPr="00A655C7" w:rsidRDefault="00A655C7" w:rsidP="00A4435D">
      <w:pPr>
        <w:jc w:val="both"/>
      </w:pPr>
      <w:r w:rsidRPr="00A655C7">
        <w:t>In the software, the channel selection is managed by setting the GPIO pins connected to the DG409 control inputs (A0, A1). The selection process follows these steps:</w:t>
      </w:r>
    </w:p>
    <w:p w:rsidR="00A655C7" w:rsidRPr="00A655C7" w:rsidRDefault="00A655C7" w:rsidP="00A4435D">
      <w:pPr>
        <w:numPr>
          <w:ilvl w:val="0"/>
          <w:numId w:val="17"/>
        </w:numPr>
        <w:jc w:val="both"/>
      </w:pPr>
      <w:r w:rsidRPr="00A655C7">
        <w:t>Disable Data Acquisition: Before switching channels, the ADC sampling process is halted to prevent incorrect readings during transitions.</w:t>
      </w:r>
    </w:p>
    <w:p w:rsidR="00A655C7" w:rsidRPr="00A655C7" w:rsidRDefault="00A655C7" w:rsidP="00A4435D">
      <w:pPr>
        <w:numPr>
          <w:ilvl w:val="0"/>
          <w:numId w:val="17"/>
        </w:numPr>
        <w:jc w:val="both"/>
      </w:pPr>
      <w:r w:rsidRPr="00A655C7">
        <w:t>Set Multiplexer Control Lines: The microcontroller sets the GPIO pins corresponding to A0 and A1 based on the required channel.</w:t>
      </w:r>
    </w:p>
    <w:p w:rsidR="00A655C7" w:rsidRPr="00A655C7" w:rsidRDefault="00A655C7" w:rsidP="00A4435D">
      <w:pPr>
        <w:numPr>
          <w:ilvl w:val="0"/>
          <w:numId w:val="17"/>
        </w:numPr>
        <w:jc w:val="both"/>
      </w:pPr>
      <w:r w:rsidRPr="00A655C7">
        <w:t>Configure for Single-Ended or Differential Mode: If single-ended mode is selected, the corresponding AI- or AI+ input is connected to ground in software.</w:t>
      </w:r>
    </w:p>
    <w:p w:rsidR="00A655C7" w:rsidRPr="00A655C7" w:rsidRDefault="00A655C7" w:rsidP="00A4435D">
      <w:pPr>
        <w:numPr>
          <w:ilvl w:val="0"/>
          <w:numId w:val="17"/>
        </w:numPr>
        <w:jc w:val="both"/>
      </w:pPr>
      <w:r w:rsidRPr="00A655C7">
        <w:t>Delay for Settling Time: A short delay (~200ns) is introduced to allow the multiplexer switches to stabilize.</w:t>
      </w:r>
    </w:p>
    <w:p w:rsidR="00A655C7" w:rsidRDefault="00A655C7" w:rsidP="00A4435D">
      <w:pPr>
        <w:numPr>
          <w:ilvl w:val="0"/>
          <w:numId w:val="17"/>
        </w:numPr>
        <w:jc w:val="both"/>
      </w:pPr>
      <w:r w:rsidRPr="00A655C7">
        <w:t>Enable Data Acquisition: Once the multiplexer output has stabilized, ADC sampling resumes.</w:t>
      </w:r>
    </w:p>
    <w:p w:rsidR="00A4435D" w:rsidRPr="00A4435D" w:rsidRDefault="00A4435D" w:rsidP="00A4435D">
      <w:pPr>
        <w:jc w:val="both"/>
      </w:pPr>
      <w:r w:rsidRPr="00A4435D">
        <w:t xml:space="preserve">This function allows dynamic switching between </w:t>
      </w:r>
      <w:r w:rsidRPr="00A4435D">
        <w:rPr>
          <w:b/>
          <w:bCs/>
        </w:rPr>
        <w:t>differential and single-ended</w:t>
      </w:r>
      <w:r w:rsidRPr="00A4435D">
        <w:t xml:space="preserve"> configurations, with the ability to choose whether </w:t>
      </w:r>
      <w:r w:rsidRPr="00A4435D">
        <w:rPr>
          <w:b/>
          <w:bCs/>
        </w:rPr>
        <w:t>AI+ or AI-</w:t>
      </w:r>
      <w:r w:rsidRPr="00A4435D">
        <w:t xml:space="preserve"> is used as the active signal.</w:t>
      </w:r>
    </w:p>
    <w:p w:rsidR="00A4435D" w:rsidRPr="00A655C7" w:rsidRDefault="00A4435D" w:rsidP="00A4435D">
      <w:pPr>
        <w:pStyle w:val="Nincstrkz"/>
      </w:pPr>
    </w:p>
    <w:p w:rsidR="00A655C7" w:rsidRPr="00A655C7" w:rsidRDefault="00A655C7" w:rsidP="00A4435D">
      <w:pPr>
        <w:pStyle w:val="Cmsor2"/>
        <w:jc w:val="both"/>
      </w:pPr>
      <w:r w:rsidRPr="00A655C7">
        <w:t>3.</w:t>
      </w:r>
      <w:r w:rsidR="00476193">
        <w:t>6</w:t>
      </w:r>
      <w:r w:rsidRPr="00A655C7">
        <w:t xml:space="preserve"> PGA and ADC Interaction</w:t>
      </w:r>
    </w:p>
    <w:p w:rsidR="00A655C7" w:rsidRPr="00A655C7" w:rsidRDefault="00A655C7" w:rsidP="00A4435D">
      <w:pPr>
        <w:jc w:val="both"/>
      </w:pPr>
      <w:r w:rsidRPr="00A655C7">
        <w:t>Once a selected differential input signal is passed through the DG409 multiplexer, it is fed into the ADA4254 programmable gain amplifier (PGA). The gain of the PGA can be controlled dynamically based on system requirements to optimize signal-to-noise ratio before it is sent to the ADS9234 ADC for digitization.</w:t>
      </w:r>
    </w:p>
    <w:p w:rsidR="00FC0E3B" w:rsidRPr="00A655C7" w:rsidRDefault="00FC0E3B" w:rsidP="00A4435D">
      <w:pPr>
        <w:pStyle w:val="Cmsor2"/>
        <w:jc w:val="both"/>
      </w:pPr>
      <w:r w:rsidRPr="00A655C7">
        <w:lastRenderedPageBreak/>
        <w:t>3.</w:t>
      </w:r>
      <w:r w:rsidR="00476193">
        <w:t>7</w:t>
      </w:r>
      <w:r w:rsidRPr="00A655C7">
        <w:t xml:space="preserve"> Bandwidth for Each Gain Setting</w:t>
      </w:r>
    </w:p>
    <w:p w:rsidR="00FC0E3B" w:rsidRPr="00A655C7" w:rsidRDefault="00FC0E3B" w:rsidP="00A4435D">
      <w:pPr>
        <w:jc w:val="both"/>
      </w:pPr>
      <w:r w:rsidRPr="00FC0E3B">
        <w:t>The bandwidth is determined by the ADC's Nyquist limit and the PGA's frequency response. Lower gains maintain the ADC's full bandwidth, while higher gains are limited by the PGA.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2160"/>
      </w:tblGrid>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Gain</w:t>
            </w:r>
          </w:p>
        </w:tc>
        <w:tc>
          <w:tcPr>
            <w:tcW w:w="2115" w:type="dxa"/>
            <w:vAlign w:val="center"/>
            <w:hideMark/>
          </w:tcPr>
          <w:p w:rsidR="00FC0E3B" w:rsidRPr="00FC0E3B" w:rsidRDefault="00FC0E3B" w:rsidP="00A4435D">
            <w:pPr>
              <w:spacing w:after="0" w:line="240" w:lineRule="auto"/>
              <w:jc w:val="center"/>
            </w:pPr>
            <w:r w:rsidRPr="00FC0E3B">
              <w:t>Max Bandwidth (Hz)</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1/16</w:t>
            </w:r>
          </w:p>
        </w:tc>
        <w:tc>
          <w:tcPr>
            <w:tcW w:w="2115" w:type="dxa"/>
            <w:vAlign w:val="center"/>
            <w:hideMark/>
          </w:tcPr>
          <w:p w:rsidR="00FC0E3B" w:rsidRPr="00FC0E3B" w:rsidRDefault="00FC0E3B" w:rsidP="00A4435D">
            <w:pPr>
              <w:spacing w:after="0" w:line="240" w:lineRule="auto"/>
              <w:jc w:val="center"/>
            </w:pPr>
            <w:r w:rsidRPr="00FC0E3B">
              <w:t>1,750,000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1/8</w:t>
            </w:r>
          </w:p>
        </w:tc>
        <w:tc>
          <w:tcPr>
            <w:tcW w:w="2115" w:type="dxa"/>
            <w:vAlign w:val="center"/>
            <w:hideMark/>
          </w:tcPr>
          <w:p w:rsidR="00FC0E3B" w:rsidRPr="00FC0E3B" w:rsidRDefault="00FC0E3B" w:rsidP="00A4435D">
            <w:pPr>
              <w:spacing w:after="0" w:line="240" w:lineRule="auto"/>
              <w:jc w:val="center"/>
            </w:pPr>
            <w:r w:rsidRPr="00FC0E3B">
              <w:t>1,750,000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1/4</w:t>
            </w:r>
          </w:p>
        </w:tc>
        <w:tc>
          <w:tcPr>
            <w:tcW w:w="2115" w:type="dxa"/>
            <w:vAlign w:val="center"/>
            <w:hideMark/>
          </w:tcPr>
          <w:p w:rsidR="00FC0E3B" w:rsidRPr="00FC0E3B" w:rsidRDefault="00FC0E3B" w:rsidP="00A4435D">
            <w:pPr>
              <w:spacing w:after="0" w:line="240" w:lineRule="auto"/>
              <w:jc w:val="center"/>
            </w:pPr>
            <w:r w:rsidRPr="00FC0E3B">
              <w:t>1,750,000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1/2</w:t>
            </w:r>
          </w:p>
        </w:tc>
        <w:tc>
          <w:tcPr>
            <w:tcW w:w="2115" w:type="dxa"/>
            <w:vAlign w:val="center"/>
            <w:hideMark/>
          </w:tcPr>
          <w:p w:rsidR="00FC0E3B" w:rsidRPr="00FC0E3B" w:rsidRDefault="00FC0E3B" w:rsidP="00A4435D">
            <w:pPr>
              <w:spacing w:after="0" w:line="240" w:lineRule="auto"/>
              <w:jc w:val="center"/>
            </w:pPr>
            <w:r w:rsidRPr="00FC0E3B">
              <w:t>1,750,000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1</w:t>
            </w:r>
          </w:p>
        </w:tc>
        <w:tc>
          <w:tcPr>
            <w:tcW w:w="2115" w:type="dxa"/>
            <w:vAlign w:val="center"/>
            <w:hideMark/>
          </w:tcPr>
          <w:p w:rsidR="00FC0E3B" w:rsidRPr="00FC0E3B" w:rsidRDefault="00FC0E3B" w:rsidP="00A4435D">
            <w:pPr>
              <w:spacing w:after="0" w:line="240" w:lineRule="auto"/>
              <w:jc w:val="center"/>
            </w:pPr>
            <w:r w:rsidRPr="00FC0E3B">
              <w:t>1,750,000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2</w:t>
            </w:r>
          </w:p>
        </w:tc>
        <w:tc>
          <w:tcPr>
            <w:tcW w:w="2115" w:type="dxa"/>
            <w:vAlign w:val="center"/>
            <w:hideMark/>
          </w:tcPr>
          <w:p w:rsidR="00FC0E3B" w:rsidRPr="00FC0E3B" w:rsidRDefault="00FC0E3B" w:rsidP="00A4435D">
            <w:pPr>
              <w:spacing w:after="0" w:line="240" w:lineRule="auto"/>
              <w:jc w:val="center"/>
            </w:pPr>
            <w:r w:rsidRPr="00FC0E3B">
              <w:t>1,750,000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4</w:t>
            </w:r>
          </w:p>
        </w:tc>
        <w:tc>
          <w:tcPr>
            <w:tcW w:w="2115" w:type="dxa"/>
            <w:vAlign w:val="center"/>
            <w:hideMark/>
          </w:tcPr>
          <w:p w:rsidR="00FC0E3B" w:rsidRPr="00FC0E3B" w:rsidRDefault="00FC0E3B" w:rsidP="00A4435D">
            <w:pPr>
              <w:spacing w:after="0" w:line="240" w:lineRule="auto"/>
              <w:jc w:val="center"/>
            </w:pPr>
            <w:r w:rsidRPr="00FC0E3B">
              <w:t>1,750,000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8</w:t>
            </w:r>
          </w:p>
        </w:tc>
        <w:tc>
          <w:tcPr>
            <w:tcW w:w="2115" w:type="dxa"/>
            <w:vAlign w:val="center"/>
            <w:hideMark/>
          </w:tcPr>
          <w:p w:rsidR="00FC0E3B" w:rsidRPr="00FC0E3B" w:rsidRDefault="00FC0E3B" w:rsidP="00A4435D">
            <w:pPr>
              <w:spacing w:after="0" w:line="240" w:lineRule="auto"/>
              <w:jc w:val="center"/>
            </w:pPr>
            <w:r w:rsidRPr="00FC0E3B">
              <w:t>1,250,000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16</w:t>
            </w:r>
          </w:p>
        </w:tc>
        <w:tc>
          <w:tcPr>
            <w:tcW w:w="2115" w:type="dxa"/>
            <w:vAlign w:val="center"/>
            <w:hideMark/>
          </w:tcPr>
          <w:p w:rsidR="00FC0E3B" w:rsidRPr="00FC0E3B" w:rsidRDefault="00FC0E3B" w:rsidP="00A4435D">
            <w:pPr>
              <w:spacing w:after="0" w:line="240" w:lineRule="auto"/>
              <w:jc w:val="center"/>
            </w:pPr>
            <w:r w:rsidRPr="00FC0E3B">
              <w:t>625,000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32</w:t>
            </w:r>
          </w:p>
        </w:tc>
        <w:tc>
          <w:tcPr>
            <w:tcW w:w="2115" w:type="dxa"/>
            <w:vAlign w:val="center"/>
            <w:hideMark/>
          </w:tcPr>
          <w:p w:rsidR="00FC0E3B" w:rsidRPr="00FC0E3B" w:rsidRDefault="00FC0E3B" w:rsidP="00A4435D">
            <w:pPr>
              <w:spacing w:after="0" w:line="240" w:lineRule="auto"/>
              <w:jc w:val="center"/>
            </w:pPr>
            <w:r w:rsidRPr="00FC0E3B">
              <w:t>312,500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64</w:t>
            </w:r>
          </w:p>
        </w:tc>
        <w:tc>
          <w:tcPr>
            <w:tcW w:w="2115" w:type="dxa"/>
            <w:vAlign w:val="center"/>
            <w:hideMark/>
          </w:tcPr>
          <w:p w:rsidR="00FC0E3B" w:rsidRPr="00FC0E3B" w:rsidRDefault="00FC0E3B" w:rsidP="00A4435D">
            <w:pPr>
              <w:spacing w:after="0" w:line="240" w:lineRule="auto"/>
              <w:jc w:val="center"/>
            </w:pPr>
            <w:r w:rsidRPr="00FC0E3B">
              <w:t>156,250</w:t>
            </w:r>
          </w:p>
        </w:tc>
      </w:tr>
      <w:tr w:rsidR="00FC0E3B" w:rsidRPr="00FC0E3B" w:rsidTr="00A4435D">
        <w:trPr>
          <w:tblCellSpacing w:w="15" w:type="dxa"/>
          <w:jc w:val="center"/>
        </w:trPr>
        <w:tc>
          <w:tcPr>
            <w:tcW w:w="940" w:type="dxa"/>
            <w:vAlign w:val="center"/>
            <w:hideMark/>
          </w:tcPr>
          <w:p w:rsidR="00FC0E3B" w:rsidRPr="00FC0E3B" w:rsidRDefault="00FC0E3B" w:rsidP="00A4435D">
            <w:pPr>
              <w:spacing w:after="0" w:line="240" w:lineRule="auto"/>
              <w:jc w:val="center"/>
            </w:pPr>
            <w:r w:rsidRPr="00FC0E3B">
              <w:t>128</w:t>
            </w:r>
          </w:p>
        </w:tc>
        <w:tc>
          <w:tcPr>
            <w:tcW w:w="2115" w:type="dxa"/>
            <w:vAlign w:val="center"/>
            <w:hideMark/>
          </w:tcPr>
          <w:p w:rsidR="00FC0E3B" w:rsidRPr="00FC0E3B" w:rsidRDefault="00FC0E3B" w:rsidP="00A4435D">
            <w:pPr>
              <w:spacing w:after="0" w:line="240" w:lineRule="auto"/>
              <w:jc w:val="center"/>
            </w:pPr>
            <w:r w:rsidRPr="00FC0E3B">
              <w:t>78,125</w:t>
            </w:r>
          </w:p>
        </w:tc>
      </w:tr>
    </w:tbl>
    <w:p w:rsidR="00A4435D" w:rsidRDefault="00A4435D">
      <w:pPr>
        <w:rPr>
          <w:rFonts w:asciiTheme="majorHAnsi" w:eastAsiaTheme="majorEastAsia" w:hAnsiTheme="majorHAnsi" w:cstheme="majorBidi"/>
          <w:sz w:val="32"/>
          <w:szCs w:val="32"/>
        </w:rPr>
      </w:pPr>
    </w:p>
    <w:p w:rsidR="00FC0E3B" w:rsidRPr="00A655C7" w:rsidRDefault="00FC0E3B" w:rsidP="00A4435D">
      <w:pPr>
        <w:pStyle w:val="Cmsor2"/>
        <w:jc w:val="both"/>
      </w:pPr>
      <w:r w:rsidRPr="00A655C7">
        <w:t>3.</w:t>
      </w:r>
      <w:r w:rsidR="00476193">
        <w:t>8</w:t>
      </w:r>
      <w:r w:rsidRPr="00A655C7">
        <w:t xml:space="preserve"> Input Ranges for Different Gains</w:t>
      </w:r>
    </w:p>
    <w:p w:rsidR="00FC0E3B" w:rsidRPr="00FC0E3B" w:rsidRDefault="00FC0E3B" w:rsidP="00A4435D">
      <w:pPr>
        <w:jc w:val="both"/>
      </w:pPr>
      <w:r w:rsidRPr="00FC0E3B">
        <w:t>The input ranges are defined by the reference voltage (VREF = 2.5V), positive supply voltage (+12V), and negative supply voltage (-12V).</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2"/>
        <w:gridCol w:w="2909"/>
        <w:gridCol w:w="2867"/>
        <w:gridCol w:w="3048"/>
      </w:tblGrid>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Gain</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Differential Input Range (±V)</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Positive Input Range (0 to V)</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Negative Input Range (0 to -V)</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1/16</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±80.0</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40.0</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-40.0</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1/8</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±40.0</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20.0</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-20.0</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1/4</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±20.0</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10.0</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-10.0</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1/2</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±10.0</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5.0</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-5.0</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1</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±5.0</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-2.5</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2</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±2.5</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1.25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-1.25</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4</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±1.25</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0.625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-0.625</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8</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±0.625</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0.3125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-0.3125</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16</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±0.3125</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0.15625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-0.15625</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32</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±0.15625</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0.078125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-0.078125</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64</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±0.078125</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0.0390625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-0.0390625</w:t>
            </w:r>
          </w:p>
        </w:tc>
      </w:tr>
      <w:tr w:rsidR="00FC0E3B" w:rsidRPr="00FC0E3B" w:rsidTr="00A4435D">
        <w:trPr>
          <w:tblCellSpacing w:w="15" w:type="dxa"/>
        </w:trPr>
        <w:tc>
          <w:tcPr>
            <w:tcW w:w="280" w:type="pct"/>
            <w:vAlign w:val="center"/>
            <w:hideMark/>
          </w:tcPr>
          <w:p w:rsidR="00FC0E3B" w:rsidRPr="00FC0E3B" w:rsidRDefault="00FC0E3B" w:rsidP="00A4435D">
            <w:pPr>
              <w:spacing w:after="0" w:line="240" w:lineRule="auto"/>
              <w:jc w:val="center"/>
              <w:rPr>
                <w:sz w:val="22"/>
                <w:szCs w:val="22"/>
              </w:rPr>
            </w:pPr>
            <w:r w:rsidRPr="00FC0E3B">
              <w:rPr>
                <w:sz w:val="22"/>
                <w:szCs w:val="22"/>
              </w:rPr>
              <w:t>128</w:t>
            </w:r>
          </w:p>
        </w:tc>
        <w:tc>
          <w:tcPr>
            <w:tcW w:w="1531" w:type="pct"/>
            <w:vAlign w:val="center"/>
            <w:hideMark/>
          </w:tcPr>
          <w:p w:rsidR="00FC0E3B" w:rsidRPr="00FC0E3B" w:rsidRDefault="00FC0E3B" w:rsidP="00A4435D">
            <w:pPr>
              <w:spacing w:after="0" w:line="240" w:lineRule="auto"/>
              <w:jc w:val="center"/>
              <w:rPr>
                <w:sz w:val="22"/>
                <w:szCs w:val="22"/>
              </w:rPr>
            </w:pPr>
            <w:r w:rsidRPr="00FC0E3B">
              <w:rPr>
                <w:sz w:val="22"/>
                <w:szCs w:val="22"/>
              </w:rPr>
              <w:t>±0.0390625</w:t>
            </w:r>
          </w:p>
        </w:tc>
        <w:tc>
          <w:tcPr>
            <w:tcW w:w="1508" w:type="pct"/>
            <w:vAlign w:val="center"/>
            <w:hideMark/>
          </w:tcPr>
          <w:p w:rsidR="00FC0E3B" w:rsidRPr="00FC0E3B" w:rsidRDefault="00FC0E3B" w:rsidP="00A4435D">
            <w:pPr>
              <w:spacing w:after="0" w:line="240" w:lineRule="auto"/>
              <w:jc w:val="center"/>
              <w:rPr>
                <w:sz w:val="22"/>
                <w:szCs w:val="22"/>
              </w:rPr>
            </w:pPr>
            <w:r w:rsidRPr="00FC0E3B">
              <w:rPr>
                <w:sz w:val="22"/>
                <w:szCs w:val="22"/>
              </w:rPr>
              <w:t>0 to 0.01953125</w:t>
            </w:r>
          </w:p>
        </w:tc>
        <w:tc>
          <w:tcPr>
            <w:tcW w:w="1596" w:type="pct"/>
            <w:vAlign w:val="center"/>
            <w:hideMark/>
          </w:tcPr>
          <w:p w:rsidR="00FC0E3B" w:rsidRPr="00FC0E3B" w:rsidRDefault="00FC0E3B" w:rsidP="00A4435D">
            <w:pPr>
              <w:spacing w:after="0" w:line="240" w:lineRule="auto"/>
              <w:jc w:val="center"/>
              <w:rPr>
                <w:sz w:val="22"/>
                <w:szCs w:val="22"/>
              </w:rPr>
            </w:pPr>
            <w:r w:rsidRPr="00FC0E3B">
              <w:rPr>
                <w:sz w:val="22"/>
                <w:szCs w:val="22"/>
              </w:rPr>
              <w:t>0 to -0.01953125</w:t>
            </w:r>
          </w:p>
        </w:tc>
      </w:tr>
    </w:tbl>
    <w:p w:rsidR="00FC0E3B" w:rsidRPr="00FC0E3B" w:rsidRDefault="00FC0E3B" w:rsidP="00A4435D">
      <w:pPr>
        <w:jc w:val="both"/>
      </w:pPr>
    </w:p>
    <w:p w:rsidR="00FC0E3B" w:rsidRPr="00A655C7" w:rsidRDefault="00FC0E3B" w:rsidP="00A4435D">
      <w:pPr>
        <w:pStyle w:val="Cmsor1"/>
        <w:jc w:val="both"/>
      </w:pPr>
      <w:r w:rsidRPr="00A655C7">
        <w:lastRenderedPageBreak/>
        <w:t>4. Power Subsystem for Analog Input</w:t>
      </w:r>
    </w:p>
    <w:p w:rsidR="00FC0E3B" w:rsidRPr="00A655C7" w:rsidRDefault="00FC0E3B" w:rsidP="00A4435D">
      <w:pPr>
        <w:pStyle w:val="Cmsor2"/>
        <w:jc w:val="both"/>
      </w:pPr>
      <w:r w:rsidRPr="00A655C7">
        <w:t>4.1 Power System Overview</w:t>
      </w:r>
    </w:p>
    <w:p w:rsidR="00FC0E3B" w:rsidRPr="00A655C7" w:rsidRDefault="00FC0E3B" w:rsidP="00A4435D">
      <w:pPr>
        <w:jc w:val="both"/>
      </w:pPr>
      <w:r w:rsidRPr="00FC0E3B">
        <w:t>The analog input subsystem requires multiple voltage levels to operate correctly. The ADC and SPI communication rely on a stable 3.3V power rail, while the PGA and analog input circuits need ±12V for proper operation. To generate these voltages, a combination of a boost converter and LDO regulators is used.</w:t>
      </w:r>
    </w:p>
    <w:p w:rsidR="00FC0E3B" w:rsidRPr="00FC0E3B" w:rsidRDefault="00FC0E3B" w:rsidP="00A4435D">
      <w:pPr>
        <w:jc w:val="both"/>
      </w:pPr>
    </w:p>
    <w:p w:rsidR="00FC0E3B" w:rsidRPr="00A655C7" w:rsidRDefault="00FC0E3B" w:rsidP="00A4435D">
      <w:pPr>
        <w:pStyle w:val="Cmsor2"/>
        <w:jc w:val="both"/>
      </w:pPr>
      <w:r w:rsidRPr="00A655C7">
        <w:t>4.2 Boost Converter (5V to ±14V)</w:t>
      </w:r>
    </w:p>
    <w:p w:rsidR="00FC0E3B" w:rsidRPr="00A655C7" w:rsidRDefault="00FC0E3B" w:rsidP="00A4435D">
      <w:pPr>
        <w:jc w:val="both"/>
      </w:pPr>
      <w:r w:rsidRPr="00FC0E3B">
        <w:t>The TPS65131 is a dual-output DC-DC converter that efficiently converts a 5V input to ±14V, ensuring stable and isolated power for the high-performance analog circuits. The positive and negative voltage rails are generated using a single inductor topology, reducing PCB space and complexity. The output is stabilized using low-ESR capacitors (22µF and 10µF), ensuring minimal ripple.</w:t>
      </w:r>
    </w:p>
    <w:p w:rsidR="00FC0E3B" w:rsidRPr="00FC0E3B" w:rsidRDefault="00FC0E3B" w:rsidP="00A4435D">
      <w:pPr>
        <w:jc w:val="both"/>
      </w:pPr>
    </w:p>
    <w:p w:rsidR="00FC0E3B" w:rsidRPr="00A655C7" w:rsidRDefault="00FC0E3B" w:rsidP="00A4435D">
      <w:pPr>
        <w:pStyle w:val="Cmsor2"/>
        <w:jc w:val="both"/>
      </w:pPr>
      <w:r w:rsidRPr="00A655C7">
        <w:t>4.3 LDO Regulation (±14V to ±12V)</w:t>
      </w:r>
    </w:p>
    <w:p w:rsidR="00FC0E3B" w:rsidRDefault="00FC0E3B" w:rsidP="00A4435D">
      <w:pPr>
        <w:jc w:val="both"/>
      </w:pPr>
      <w:r w:rsidRPr="00FC0E3B">
        <w:t>The ±14V rails generated by the boost converter are further regulated using the TPS7A39, a precision low-noise LDO regulator. This step ensures that the analog circuits receive clean and low-ripple ±12V supplies. The regulator uses bulk 22µF capacitors for stable operation, with 100nF decoupling capacitors placed near the power pins of the PGA and ADC to prevent noise coupling.</w:t>
      </w:r>
    </w:p>
    <w:p w:rsidR="007D7B82" w:rsidRPr="007D7B82" w:rsidRDefault="007D7B82" w:rsidP="00A4435D">
      <w:pPr>
        <w:jc w:val="both"/>
      </w:pPr>
    </w:p>
    <w:p w:rsidR="00FC0E3B" w:rsidRPr="00A655C7" w:rsidRDefault="00FC0E3B" w:rsidP="00A4435D">
      <w:pPr>
        <w:pStyle w:val="Cmsor2"/>
        <w:jc w:val="both"/>
      </w:pPr>
      <w:r w:rsidRPr="00A655C7">
        <w:t>4.4 Power Distribution Considerations</w:t>
      </w:r>
    </w:p>
    <w:p w:rsidR="00FC0E3B" w:rsidRPr="00FC0E3B" w:rsidRDefault="00FC0E3B" w:rsidP="00A4435D">
      <w:pPr>
        <w:jc w:val="both"/>
      </w:pPr>
      <w:r w:rsidRPr="00FC0E3B">
        <w:t>To ensure optimal performance, the power system is designed with:</w:t>
      </w:r>
    </w:p>
    <w:p w:rsidR="00FC0E3B" w:rsidRPr="00FC0E3B" w:rsidRDefault="00FC0E3B" w:rsidP="00A4435D">
      <w:pPr>
        <w:numPr>
          <w:ilvl w:val="0"/>
          <w:numId w:val="12"/>
        </w:numPr>
        <w:jc w:val="both"/>
      </w:pPr>
      <w:r w:rsidRPr="00FC0E3B">
        <w:t>Separate ground planes for analog and digital sections to minimize interference.</w:t>
      </w:r>
    </w:p>
    <w:p w:rsidR="00FC0E3B" w:rsidRPr="00FC0E3B" w:rsidRDefault="00FC0E3B" w:rsidP="00A4435D">
      <w:pPr>
        <w:numPr>
          <w:ilvl w:val="0"/>
          <w:numId w:val="12"/>
        </w:numPr>
        <w:jc w:val="both"/>
      </w:pPr>
      <w:r w:rsidRPr="00FC0E3B">
        <w:t>High-frequency decoupling capacitors near ICs to suppress transient noise.</w:t>
      </w:r>
    </w:p>
    <w:p w:rsidR="00FC0E3B" w:rsidRPr="00FC0E3B" w:rsidRDefault="00FC0E3B" w:rsidP="00A4435D">
      <w:pPr>
        <w:numPr>
          <w:ilvl w:val="0"/>
          <w:numId w:val="12"/>
        </w:numPr>
        <w:jc w:val="both"/>
      </w:pPr>
      <w:r w:rsidRPr="00FC0E3B">
        <w:t>Low dropout regulators to improve power efficiency and thermal management.</w:t>
      </w:r>
    </w:p>
    <w:p w:rsidR="00FC0E3B" w:rsidRPr="00FC0E3B" w:rsidRDefault="00FC0E3B" w:rsidP="00A4435D">
      <w:pPr>
        <w:numPr>
          <w:ilvl w:val="0"/>
          <w:numId w:val="12"/>
        </w:numPr>
        <w:jc w:val="both"/>
      </w:pPr>
      <w:r w:rsidRPr="00FC0E3B">
        <w:t>Current limiting and ESD protection at the power input to prevent damage from transient spikes or electrical surges.</w:t>
      </w:r>
    </w:p>
    <w:p w:rsidR="00FC0E3B" w:rsidRPr="00FC0E3B" w:rsidRDefault="00FC0E3B" w:rsidP="00A4435D">
      <w:pPr>
        <w:jc w:val="both"/>
      </w:pPr>
    </w:p>
    <w:p w:rsidR="00FC0E3B" w:rsidRPr="00A655C7" w:rsidRDefault="00FC0E3B" w:rsidP="00A4435D">
      <w:pPr>
        <w:pStyle w:val="Cmsor1"/>
        <w:jc w:val="both"/>
      </w:pPr>
      <w:r w:rsidRPr="00A655C7">
        <w:lastRenderedPageBreak/>
        <w:t>5. Summary</w:t>
      </w:r>
    </w:p>
    <w:p w:rsidR="00FC0E3B" w:rsidRPr="00FC0E3B" w:rsidRDefault="00FC0E3B" w:rsidP="00A4435D">
      <w:pPr>
        <w:jc w:val="both"/>
      </w:pPr>
      <w:r w:rsidRPr="00FC0E3B">
        <w:t>This document focuses exclusively on the Analog Input Subsystem of the DAQ system, covering:</w:t>
      </w:r>
    </w:p>
    <w:p w:rsidR="00FC0E3B" w:rsidRPr="00FC0E3B" w:rsidRDefault="00FC0E3B" w:rsidP="00A4435D">
      <w:pPr>
        <w:numPr>
          <w:ilvl w:val="0"/>
          <w:numId w:val="13"/>
        </w:numPr>
        <w:jc w:val="both"/>
      </w:pPr>
      <w:r w:rsidRPr="00FC0E3B">
        <w:t>16 AI differential inputs with signal conditioning.</w:t>
      </w:r>
    </w:p>
    <w:p w:rsidR="00FC0E3B" w:rsidRPr="00FC0E3B" w:rsidRDefault="00FC0E3B" w:rsidP="00A4435D">
      <w:pPr>
        <w:numPr>
          <w:ilvl w:val="0"/>
          <w:numId w:val="13"/>
        </w:numPr>
        <w:jc w:val="both"/>
      </w:pPr>
      <w:r w:rsidRPr="00FC0E3B">
        <w:t>PGA and multiplexer configurations for flexible input selection.</w:t>
      </w:r>
    </w:p>
    <w:p w:rsidR="00FC0E3B" w:rsidRPr="00FC0E3B" w:rsidRDefault="00FC0E3B" w:rsidP="00A4435D">
      <w:pPr>
        <w:numPr>
          <w:ilvl w:val="0"/>
          <w:numId w:val="13"/>
        </w:numPr>
        <w:jc w:val="both"/>
      </w:pPr>
      <w:r w:rsidRPr="00FC0E3B">
        <w:t>SPI-based ADC communication and control logic.</w:t>
      </w:r>
    </w:p>
    <w:p w:rsidR="00FC0E3B" w:rsidRPr="00FC0E3B" w:rsidRDefault="00FC0E3B" w:rsidP="00A4435D">
      <w:pPr>
        <w:numPr>
          <w:ilvl w:val="0"/>
          <w:numId w:val="13"/>
        </w:numPr>
        <w:jc w:val="both"/>
      </w:pPr>
      <w:r w:rsidRPr="00FC0E3B">
        <w:t>A well-structured power system, including boost conversion and LDO regulation.</w:t>
      </w:r>
    </w:p>
    <w:p w:rsidR="00FC0E3B" w:rsidRPr="00FC0E3B" w:rsidRDefault="00FC0E3B" w:rsidP="00A4435D">
      <w:pPr>
        <w:jc w:val="both"/>
      </w:pPr>
      <w:r w:rsidRPr="00FC0E3B">
        <w:t>This modular approach ensures seamless integration into the full DAQ system while maintaining signal integrity and accuracy.</w:t>
      </w:r>
    </w:p>
    <w:p w:rsidR="00DE25FB" w:rsidRPr="00A655C7" w:rsidRDefault="00DE25FB" w:rsidP="00A4435D">
      <w:pPr>
        <w:jc w:val="both"/>
      </w:pPr>
    </w:p>
    <w:sectPr w:rsidR="00DE25FB" w:rsidRPr="00A655C7" w:rsidSect="00A4435D">
      <w:pgSz w:w="12240" w:h="15840"/>
      <w:pgMar w:top="1260" w:right="1417" w:bottom="108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481"/>
    <w:multiLevelType w:val="multilevel"/>
    <w:tmpl w:val="025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53BB"/>
    <w:multiLevelType w:val="multilevel"/>
    <w:tmpl w:val="09C0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7CAF"/>
    <w:multiLevelType w:val="multilevel"/>
    <w:tmpl w:val="36E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5DBF"/>
    <w:multiLevelType w:val="multilevel"/>
    <w:tmpl w:val="805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84F37"/>
    <w:multiLevelType w:val="multilevel"/>
    <w:tmpl w:val="72B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E4F90"/>
    <w:multiLevelType w:val="multilevel"/>
    <w:tmpl w:val="2DB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D0F96"/>
    <w:multiLevelType w:val="multilevel"/>
    <w:tmpl w:val="519A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E6904"/>
    <w:multiLevelType w:val="multilevel"/>
    <w:tmpl w:val="00A4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A1C21"/>
    <w:multiLevelType w:val="multilevel"/>
    <w:tmpl w:val="C84E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D549F"/>
    <w:multiLevelType w:val="multilevel"/>
    <w:tmpl w:val="3C42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21601"/>
    <w:multiLevelType w:val="multilevel"/>
    <w:tmpl w:val="9AF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113F9"/>
    <w:multiLevelType w:val="multilevel"/>
    <w:tmpl w:val="EF90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174E1"/>
    <w:multiLevelType w:val="multilevel"/>
    <w:tmpl w:val="3C06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12732"/>
    <w:multiLevelType w:val="multilevel"/>
    <w:tmpl w:val="EB6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F68E6"/>
    <w:multiLevelType w:val="multilevel"/>
    <w:tmpl w:val="202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12706"/>
    <w:multiLevelType w:val="multilevel"/>
    <w:tmpl w:val="B836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85E18"/>
    <w:multiLevelType w:val="multilevel"/>
    <w:tmpl w:val="27A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61941">
    <w:abstractNumId w:val="12"/>
  </w:num>
  <w:num w:numId="2" w16cid:durableId="1335913615">
    <w:abstractNumId w:val="7"/>
  </w:num>
  <w:num w:numId="3" w16cid:durableId="988442262">
    <w:abstractNumId w:val="0"/>
  </w:num>
  <w:num w:numId="4" w16cid:durableId="947394292">
    <w:abstractNumId w:val="10"/>
  </w:num>
  <w:num w:numId="5" w16cid:durableId="758523596">
    <w:abstractNumId w:val="13"/>
  </w:num>
  <w:num w:numId="6" w16cid:durableId="209222041">
    <w:abstractNumId w:val="6"/>
  </w:num>
  <w:num w:numId="7" w16cid:durableId="1698852812">
    <w:abstractNumId w:val="5"/>
  </w:num>
  <w:num w:numId="8" w16cid:durableId="541482956">
    <w:abstractNumId w:val="4"/>
  </w:num>
  <w:num w:numId="9" w16cid:durableId="264729013">
    <w:abstractNumId w:val="11"/>
  </w:num>
  <w:num w:numId="10" w16cid:durableId="440145898">
    <w:abstractNumId w:val="15"/>
  </w:num>
  <w:num w:numId="11" w16cid:durableId="2117557847">
    <w:abstractNumId w:val="2"/>
  </w:num>
  <w:num w:numId="12" w16cid:durableId="1073818517">
    <w:abstractNumId w:val="14"/>
  </w:num>
  <w:num w:numId="13" w16cid:durableId="106119708">
    <w:abstractNumId w:val="16"/>
  </w:num>
  <w:num w:numId="14" w16cid:durableId="2000424178">
    <w:abstractNumId w:val="3"/>
  </w:num>
  <w:num w:numId="15" w16cid:durableId="2035492298">
    <w:abstractNumId w:val="9"/>
  </w:num>
  <w:num w:numId="16" w16cid:durableId="616764745">
    <w:abstractNumId w:val="1"/>
  </w:num>
  <w:num w:numId="17" w16cid:durableId="797451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B"/>
    <w:rsid w:val="00322023"/>
    <w:rsid w:val="0045720E"/>
    <w:rsid w:val="00476193"/>
    <w:rsid w:val="007D7B82"/>
    <w:rsid w:val="00A4435D"/>
    <w:rsid w:val="00A655C7"/>
    <w:rsid w:val="00BF5F84"/>
    <w:rsid w:val="00DE25FB"/>
    <w:rsid w:val="00F72CD3"/>
    <w:rsid w:val="00FC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619"/>
  <w15:chartTrackingRefBased/>
  <w15:docId w15:val="{A1D70309-47AF-4D79-8E24-1A4360D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C0E3B"/>
    <w:pPr>
      <w:keepNext/>
      <w:keepLines/>
      <w:spacing w:before="360" w:after="80"/>
      <w:outlineLvl w:val="0"/>
    </w:pPr>
    <w:rPr>
      <w:rFonts w:asciiTheme="majorHAnsi" w:eastAsiaTheme="majorEastAsia" w:hAnsiTheme="majorHAnsi" w:cstheme="majorBidi"/>
      <w:sz w:val="40"/>
      <w:szCs w:val="40"/>
    </w:rPr>
  </w:style>
  <w:style w:type="paragraph" w:styleId="Cmsor2">
    <w:name w:val="heading 2"/>
    <w:basedOn w:val="Norml"/>
    <w:next w:val="Norml"/>
    <w:link w:val="Cmsor2Char"/>
    <w:uiPriority w:val="9"/>
    <w:unhideWhenUsed/>
    <w:qFormat/>
    <w:rsid w:val="00FC0E3B"/>
    <w:pPr>
      <w:keepNext/>
      <w:keepLines/>
      <w:spacing w:before="160" w:after="80"/>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semiHidden/>
    <w:unhideWhenUsed/>
    <w:qFormat/>
    <w:rsid w:val="00FC0E3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C0E3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C0E3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C0E3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C0E3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C0E3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C0E3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C0E3B"/>
    <w:rPr>
      <w:rFonts w:asciiTheme="majorHAnsi" w:eastAsiaTheme="majorEastAsia" w:hAnsiTheme="majorHAnsi" w:cstheme="majorBidi"/>
      <w:sz w:val="40"/>
      <w:szCs w:val="40"/>
    </w:rPr>
  </w:style>
  <w:style w:type="character" w:customStyle="1" w:styleId="Cmsor2Char">
    <w:name w:val="Címsor 2 Char"/>
    <w:basedOn w:val="Bekezdsalapbettpusa"/>
    <w:link w:val="Cmsor2"/>
    <w:uiPriority w:val="9"/>
    <w:rsid w:val="00FC0E3B"/>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semiHidden/>
    <w:rsid w:val="00FC0E3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FC0E3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FC0E3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FC0E3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FC0E3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FC0E3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FC0E3B"/>
    <w:rPr>
      <w:rFonts w:eastAsiaTheme="majorEastAsia" w:cstheme="majorBidi"/>
      <w:color w:val="272727" w:themeColor="text1" w:themeTint="D8"/>
    </w:rPr>
  </w:style>
  <w:style w:type="paragraph" w:styleId="Cm">
    <w:name w:val="Title"/>
    <w:basedOn w:val="Norml"/>
    <w:next w:val="Norml"/>
    <w:link w:val="CmChar"/>
    <w:uiPriority w:val="10"/>
    <w:qFormat/>
    <w:rsid w:val="00FC0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C0E3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C0E3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C0E3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FC0E3B"/>
    <w:pPr>
      <w:spacing w:before="160"/>
      <w:jc w:val="center"/>
    </w:pPr>
    <w:rPr>
      <w:i/>
      <w:iCs/>
      <w:color w:val="404040" w:themeColor="text1" w:themeTint="BF"/>
    </w:rPr>
  </w:style>
  <w:style w:type="character" w:customStyle="1" w:styleId="IdzetChar">
    <w:name w:val="Idézet Char"/>
    <w:basedOn w:val="Bekezdsalapbettpusa"/>
    <w:link w:val="Idzet"/>
    <w:uiPriority w:val="29"/>
    <w:rsid w:val="00FC0E3B"/>
    <w:rPr>
      <w:i/>
      <w:iCs/>
      <w:color w:val="404040" w:themeColor="text1" w:themeTint="BF"/>
    </w:rPr>
  </w:style>
  <w:style w:type="paragraph" w:styleId="Listaszerbekezds">
    <w:name w:val="List Paragraph"/>
    <w:basedOn w:val="Norml"/>
    <w:uiPriority w:val="34"/>
    <w:qFormat/>
    <w:rsid w:val="00FC0E3B"/>
    <w:pPr>
      <w:ind w:left="720"/>
      <w:contextualSpacing/>
    </w:pPr>
  </w:style>
  <w:style w:type="character" w:styleId="Erskiemels">
    <w:name w:val="Intense Emphasis"/>
    <w:basedOn w:val="Bekezdsalapbettpusa"/>
    <w:uiPriority w:val="21"/>
    <w:qFormat/>
    <w:rsid w:val="00FC0E3B"/>
    <w:rPr>
      <w:i/>
      <w:iCs/>
      <w:color w:val="0F4761" w:themeColor="accent1" w:themeShade="BF"/>
    </w:rPr>
  </w:style>
  <w:style w:type="paragraph" w:styleId="Kiemeltidzet">
    <w:name w:val="Intense Quote"/>
    <w:basedOn w:val="Norml"/>
    <w:next w:val="Norml"/>
    <w:link w:val="KiemeltidzetChar"/>
    <w:uiPriority w:val="30"/>
    <w:qFormat/>
    <w:rsid w:val="00FC0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C0E3B"/>
    <w:rPr>
      <w:i/>
      <w:iCs/>
      <w:color w:val="0F4761" w:themeColor="accent1" w:themeShade="BF"/>
    </w:rPr>
  </w:style>
  <w:style w:type="character" w:styleId="Ershivatkozs">
    <w:name w:val="Intense Reference"/>
    <w:basedOn w:val="Bekezdsalapbettpusa"/>
    <w:uiPriority w:val="32"/>
    <w:qFormat/>
    <w:rsid w:val="00FC0E3B"/>
    <w:rPr>
      <w:b/>
      <w:bCs/>
      <w:smallCaps/>
      <w:color w:val="0F4761" w:themeColor="accent1" w:themeShade="BF"/>
      <w:spacing w:val="5"/>
    </w:rPr>
  </w:style>
  <w:style w:type="paragraph" w:styleId="Nincstrkz">
    <w:name w:val="No Spacing"/>
    <w:uiPriority w:val="1"/>
    <w:qFormat/>
    <w:rsid w:val="00A443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39459">
      <w:bodyDiv w:val="1"/>
      <w:marLeft w:val="0"/>
      <w:marRight w:val="0"/>
      <w:marTop w:val="0"/>
      <w:marBottom w:val="0"/>
      <w:divBdr>
        <w:top w:val="none" w:sz="0" w:space="0" w:color="auto"/>
        <w:left w:val="none" w:sz="0" w:space="0" w:color="auto"/>
        <w:bottom w:val="none" w:sz="0" w:space="0" w:color="auto"/>
        <w:right w:val="none" w:sz="0" w:space="0" w:color="auto"/>
      </w:divBdr>
    </w:div>
    <w:div w:id="338698245">
      <w:bodyDiv w:val="1"/>
      <w:marLeft w:val="0"/>
      <w:marRight w:val="0"/>
      <w:marTop w:val="0"/>
      <w:marBottom w:val="0"/>
      <w:divBdr>
        <w:top w:val="none" w:sz="0" w:space="0" w:color="auto"/>
        <w:left w:val="none" w:sz="0" w:space="0" w:color="auto"/>
        <w:bottom w:val="none" w:sz="0" w:space="0" w:color="auto"/>
        <w:right w:val="none" w:sz="0" w:space="0" w:color="auto"/>
      </w:divBdr>
      <w:divsChild>
        <w:div w:id="329800498">
          <w:marLeft w:val="0"/>
          <w:marRight w:val="0"/>
          <w:marTop w:val="0"/>
          <w:marBottom w:val="0"/>
          <w:divBdr>
            <w:top w:val="none" w:sz="0" w:space="0" w:color="auto"/>
            <w:left w:val="none" w:sz="0" w:space="0" w:color="auto"/>
            <w:bottom w:val="none" w:sz="0" w:space="0" w:color="auto"/>
            <w:right w:val="none" w:sz="0" w:space="0" w:color="auto"/>
          </w:divBdr>
        </w:div>
        <w:div w:id="2043821214">
          <w:marLeft w:val="0"/>
          <w:marRight w:val="0"/>
          <w:marTop w:val="0"/>
          <w:marBottom w:val="0"/>
          <w:divBdr>
            <w:top w:val="none" w:sz="0" w:space="0" w:color="auto"/>
            <w:left w:val="none" w:sz="0" w:space="0" w:color="auto"/>
            <w:bottom w:val="none" w:sz="0" w:space="0" w:color="auto"/>
            <w:right w:val="none" w:sz="0" w:space="0" w:color="auto"/>
          </w:divBdr>
        </w:div>
        <w:div w:id="584613733">
          <w:marLeft w:val="0"/>
          <w:marRight w:val="0"/>
          <w:marTop w:val="0"/>
          <w:marBottom w:val="0"/>
          <w:divBdr>
            <w:top w:val="none" w:sz="0" w:space="0" w:color="auto"/>
            <w:left w:val="none" w:sz="0" w:space="0" w:color="auto"/>
            <w:bottom w:val="none" w:sz="0" w:space="0" w:color="auto"/>
            <w:right w:val="none" w:sz="0" w:space="0" w:color="auto"/>
          </w:divBdr>
        </w:div>
        <w:div w:id="434791755">
          <w:marLeft w:val="0"/>
          <w:marRight w:val="0"/>
          <w:marTop w:val="0"/>
          <w:marBottom w:val="0"/>
          <w:divBdr>
            <w:top w:val="none" w:sz="0" w:space="0" w:color="auto"/>
            <w:left w:val="none" w:sz="0" w:space="0" w:color="auto"/>
            <w:bottom w:val="none" w:sz="0" w:space="0" w:color="auto"/>
            <w:right w:val="none" w:sz="0" w:space="0" w:color="auto"/>
          </w:divBdr>
        </w:div>
      </w:divsChild>
    </w:div>
    <w:div w:id="374155987">
      <w:bodyDiv w:val="1"/>
      <w:marLeft w:val="0"/>
      <w:marRight w:val="0"/>
      <w:marTop w:val="0"/>
      <w:marBottom w:val="0"/>
      <w:divBdr>
        <w:top w:val="none" w:sz="0" w:space="0" w:color="auto"/>
        <w:left w:val="none" w:sz="0" w:space="0" w:color="auto"/>
        <w:bottom w:val="none" w:sz="0" w:space="0" w:color="auto"/>
        <w:right w:val="none" w:sz="0" w:space="0" w:color="auto"/>
      </w:divBdr>
    </w:div>
    <w:div w:id="882714177">
      <w:bodyDiv w:val="1"/>
      <w:marLeft w:val="0"/>
      <w:marRight w:val="0"/>
      <w:marTop w:val="0"/>
      <w:marBottom w:val="0"/>
      <w:divBdr>
        <w:top w:val="none" w:sz="0" w:space="0" w:color="auto"/>
        <w:left w:val="none" w:sz="0" w:space="0" w:color="auto"/>
        <w:bottom w:val="none" w:sz="0" w:space="0" w:color="auto"/>
        <w:right w:val="none" w:sz="0" w:space="0" w:color="auto"/>
      </w:divBdr>
    </w:div>
    <w:div w:id="1079526183">
      <w:bodyDiv w:val="1"/>
      <w:marLeft w:val="0"/>
      <w:marRight w:val="0"/>
      <w:marTop w:val="0"/>
      <w:marBottom w:val="0"/>
      <w:divBdr>
        <w:top w:val="none" w:sz="0" w:space="0" w:color="auto"/>
        <w:left w:val="none" w:sz="0" w:space="0" w:color="auto"/>
        <w:bottom w:val="none" w:sz="0" w:space="0" w:color="auto"/>
        <w:right w:val="none" w:sz="0" w:space="0" w:color="auto"/>
      </w:divBdr>
    </w:div>
    <w:div w:id="1191720876">
      <w:bodyDiv w:val="1"/>
      <w:marLeft w:val="0"/>
      <w:marRight w:val="0"/>
      <w:marTop w:val="0"/>
      <w:marBottom w:val="0"/>
      <w:divBdr>
        <w:top w:val="none" w:sz="0" w:space="0" w:color="auto"/>
        <w:left w:val="none" w:sz="0" w:space="0" w:color="auto"/>
        <w:bottom w:val="none" w:sz="0" w:space="0" w:color="auto"/>
        <w:right w:val="none" w:sz="0" w:space="0" w:color="auto"/>
      </w:divBdr>
    </w:div>
    <w:div w:id="1231310085">
      <w:bodyDiv w:val="1"/>
      <w:marLeft w:val="0"/>
      <w:marRight w:val="0"/>
      <w:marTop w:val="0"/>
      <w:marBottom w:val="0"/>
      <w:divBdr>
        <w:top w:val="none" w:sz="0" w:space="0" w:color="auto"/>
        <w:left w:val="none" w:sz="0" w:space="0" w:color="auto"/>
        <w:bottom w:val="none" w:sz="0" w:space="0" w:color="auto"/>
        <w:right w:val="none" w:sz="0" w:space="0" w:color="auto"/>
      </w:divBdr>
    </w:div>
    <w:div w:id="1277710797">
      <w:bodyDiv w:val="1"/>
      <w:marLeft w:val="0"/>
      <w:marRight w:val="0"/>
      <w:marTop w:val="0"/>
      <w:marBottom w:val="0"/>
      <w:divBdr>
        <w:top w:val="none" w:sz="0" w:space="0" w:color="auto"/>
        <w:left w:val="none" w:sz="0" w:space="0" w:color="auto"/>
        <w:bottom w:val="none" w:sz="0" w:space="0" w:color="auto"/>
        <w:right w:val="none" w:sz="0" w:space="0" w:color="auto"/>
      </w:divBdr>
    </w:div>
    <w:div w:id="1406027287">
      <w:bodyDiv w:val="1"/>
      <w:marLeft w:val="0"/>
      <w:marRight w:val="0"/>
      <w:marTop w:val="0"/>
      <w:marBottom w:val="0"/>
      <w:divBdr>
        <w:top w:val="none" w:sz="0" w:space="0" w:color="auto"/>
        <w:left w:val="none" w:sz="0" w:space="0" w:color="auto"/>
        <w:bottom w:val="none" w:sz="0" w:space="0" w:color="auto"/>
        <w:right w:val="none" w:sz="0" w:space="0" w:color="auto"/>
      </w:divBdr>
    </w:div>
    <w:div w:id="1468085921">
      <w:bodyDiv w:val="1"/>
      <w:marLeft w:val="0"/>
      <w:marRight w:val="0"/>
      <w:marTop w:val="0"/>
      <w:marBottom w:val="0"/>
      <w:divBdr>
        <w:top w:val="none" w:sz="0" w:space="0" w:color="auto"/>
        <w:left w:val="none" w:sz="0" w:space="0" w:color="auto"/>
        <w:bottom w:val="none" w:sz="0" w:space="0" w:color="auto"/>
        <w:right w:val="none" w:sz="0" w:space="0" w:color="auto"/>
      </w:divBdr>
    </w:div>
    <w:div w:id="1539246878">
      <w:bodyDiv w:val="1"/>
      <w:marLeft w:val="0"/>
      <w:marRight w:val="0"/>
      <w:marTop w:val="0"/>
      <w:marBottom w:val="0"/>
      <w:divBdr>
        <w:top w:val="none" w:sz="0" w:space="0" w:color="auto"/>
        <w:left w:val="none" w:sz="0" w:space="0" w:color="auto"/>
        <w:bottom w:val="none" w:sz="0" w:space="0" w:color="auto"/>
        <w:right w:val="none" w:sz="0" w:space="0" w:color="auto"/>
      </w:divBdr>
    </w:div>
    <w:div w:id="1584026060">
      <w:bodyDiv w:val="1"/>
      <w:marLeft w:val="0"/>
      <w:marRight w:val="0"/>
      <w:marTop w:val="0"/>
      <w:marBottom w:val="0"/>
      <w:divBdr>
        <w:top w:val="none" w:sz="0" w:space="0" w:color="auto"/>
        <w:left w:val="none" w:sz="0" w:space="0" w:color="auto"/>
        <w:bottom w:val="none" w:sz="0" w:space="0" w:color="auto"/>
        <w:right w:val="none" w:sz="0" w:space="0" w:color="auto"/>
      </w:divBdr>
    </w:div>
    <w:div w:id="1700664095">
      <w:bodyDiv w:val="1"/>
      <w:marLeft w:val="0"/>
      <w:marRight w:val="0"/>
      <w:marTop w:val="0"/>
      <w:marBottom w:val="0"/>
      <w:divBdr>
        <w:top w:val="none" w:sz="0" w:space="0" w:color="auto"/>
        <w:left w:val="none" w:sz="0" w:space="0" w:color="auto"/>
        <w:bottom w:val="none" w:sz="0" w:space="0" w:color="auto"/>
        <w:right w:val="none" w:sz="0" w:space="0" w:color="auto"/>
      </w:divBdr>
    </w:div>
    <w:div w:id="1731150399">
      <w:bodyDiv w:val="1"/>
      <w:marLeft w:val="0"/>
      <w:marRight w:val="0"/>
      <w:marTop w:val="0"/>
      <w:marBottom w:val="0"/>
      <w:divBdr>
        <w:top w:val="none" w:sz="0" w:space="0" w:color="auto"/>
        <w:left w:val="none" w:sz="0" w:space="0" w:color="auto"/>
        <w:bottom w:val="none" w:sz="0" w:space="0" w:color="auto"/>
        <w:right w:val="none" w:sz="0" w:space="0" w:color="auto"/>
      </w:divBdr>
      <w:divsChild>
        <w:div w:id="989360463">
          <w:marLeft w:val="0"/>
          <w:marRight w:val="0"/>
          <w:marTop w:val="0"/>
          <w:marBottom w:val="0"/>
          <w:divBdr>
            <w:top w:val="none" w:sz="0" w:space="0" w:color="auto"/>
            <w:left w:val="none" w:sz="0" w:space="0" w:color="auto"/>
            <w:bottom w:val="none" w:sz="0" w:space="0" w:color="auto"/>
            <w:right w:val="none" w:sz="0" w:space="0" w:color="auto"/>
          </w:divBdr>
        </w:div>
        <w:div w:id="1761175998">
          <w:marLeft w:val="0"/>
          <w:marRight w:val="0"/>
          <w:marTop w:val="0"/>
          <w:marBottom w:val="0"/>
          <w:divBdr>
            <w:top w:val="none" w:sz="0" w:space="0" w:color="auto"/>
            <w:left w:val="none" w:sz="0" w:space="0" w:color="auto"/>
            <w:bottom w:val="none" w:sz="0" w:space="0" w:color="auto"/>
            <w:right w:val="none" w:sz="0" w:space="0" w:color="auto"/>
          </w:divBdr>
        </w:div>
        <w:div w:id="350226799">
          <w:marLeft w:val="0"/>
          <w:marRight w:val="0"/>
          <w:marTop w:val="0"/>
          <w:marBottom w:val="0"/>
          <w:divBdr>
            <w:top w:val="none" w:sz="0" w:space="0" w:color="auto"/>
            <w:left w:val="none" w:sz="0" w:space="0" w:color="auto"/>
            <w:bottom w:val="none" w:sz="0" w:space="0" w:color="auto"/>
            <w:right w:val="none" w:sz="0" w:space="0" w:color="auto"/>
          </w:divBdr>
        </w:div>
        <w:div w:id="1063874567">
          <w:marLeft w:val="0"/>
          <w:marRight w:val="0"/>
          <w:marTop w:val="0"/>
          <w:marBottom w:val="0"/>
          <w:divBdr>
            <w:top w:val="none" w:sz="0" w:space="0" w:color="auto"/>
            <w:left w:val="none" w:sz="0" w:space="0" w:color="auto"/>
            <w:bottom w:val="none" w:sz="0" w:space="0" w:color="auto"/>
            <w:right w:val="none" w:sz="0" w:space="0" w:color="auto"/>
          </w:divBdr>
        </w:div>
      </w:divsChild>
    </w:div>
    <w:div w:id="203253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1120</Words>
  <Characters>6389</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Sipos</dc:creator>
  <cp:keywords/>
  <dc:description/>
  <cp:lastModifiedBy>David Sipos</cp:lastModifiedBy>
  <cp:revision>6</cp:revision>
  <dcterms:created xsi:type="dcterms:W3CDTF">2025-02-05T00:01:00Z</dcterms:created>
  <dcterms:modified xsi:type="dcterms:W3CDTF">2025-02-05T00:33:00Z</dcterms:modified>
</cp:coreProperties>
</file>