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5nm07lmkhhoq" w:id="0"/>
      <w:bookmarkEnd w:id="0"/>
      <w:r w:rsidDel="00000000" w:rsidR="00000000" w:rsidRPr="00000000">
        <w:rPr>
          <w:rtl w:val="0"/>
        </w:rPr>
        <w:t xml:space="preserve">Module 5: IAM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1.Created a new </w:t>
      </w:r>
      <w:r w:rsidDel="00000000" w:rsidR="00000000" w:rsidRPr="00000000">
        <w:rPr>
          <w:b w:val="1"/>
          <w:bCs w:val="1"/>
          <w:rtl w:val="0"/>
        </w:rPr>
        <w:t xml:space="preserve">IAM User</w:t>
      </w:r>
      <w:r w:rsidDel="00000000" w:rsidR="00000000" w:rsidRPr="00000000">
        <w:rPr>
          <w:rtl w:val="0"/>
        </w:rPr>
        <w:t xml:space="preserve"> with AWS Management Console access. This establishes a unique identity for an individual.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2.Configuring a </w:t>
      </w:r>
      <w:r w:rsidDel="00000000" w:rsidR="00000000" w:rsidRPr="00000000">
        <w:rPr>
          <w:b w:val="1"/>
          <w:bCs w:val="1"/>
          <w:rtl w:val="0"/>
        </w:rPr>
        <w:t xml:space="preserve">Virtual MFA device</w:t>
      </w:r>
      <w:r w:rsidDel="00000000" w:rsidR="00000000" w:rsidRPr="00000000">
        <w:rPr>
          <w:rtl w:val="0"/>
        </w:rPr>
        <w:t xml:space="preserve">. This adds a secondary layer of security by requiring a unique code from an authenticator app during the sign-in process.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3.Verification that the </w:t>
      </w:r>
      <w:r w:rsidDel="00000000" w:rsidR="00000000" w:rsidRPr="00000000">
        <w:rPr>
          <w:b w:val="1"/>
          <w:bCs w:val="1"/>
          <w:rtl w:val="0"/>
        </w:rPr>
        <w:t xml:space="preserve">MFA device is active</w:t>
      </w:r>
      <w:r w:rsidDel="00000000" w:rsidR="00000000" w:rsidRPr="00000000">
        <w:rPr>
          <w:rtl w:val="0"/>
        </w:rPr>
        <w:t xml:space="preserve">. The IAM user is now protected by two-factor authentication, fulfilling a core AWS security best practice.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