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 usando gzip.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