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1A982"/>
          <w:spacing w:val="40"/>
          <w:sz w:val="28"/>
          <w:szCs w:val="28"/>
        </w:rPr>
        <w:t xml:space="preserve">PROJECT REPORT</w:t>
      </w:r>
    </w:p>
    <w:p>
      <w:pPr>
        <w:spacing w:after="0" w:before="240"/>
        <w:jc w:val="center"/>
      </w:pPr>
      <w:r>
        <w:rPr>
          <w:b/>
          <w:bCs/>
          <w:color w:val="15315C"/>
          <w:sz w:val="52"/>
          <w:szCs w:val="52"/>
        </w:rPr>
        <w:t xml:space="preserve">Cyber Exposure Governance Platform</w:t>
      </w:r>
    </w:p>
    <w:p>
      <w:pPr>
        <w:spacing w:after="200" w:before="60"/>
        <w:jc w:val="center"/>
      </w:pPr>
      <w:r>
        <w:rPr>
          <w:b/>
          <w:bCs/>
          <w:color w:val="1E50A0"/>
          <w:sz w:val="40"/>
          <w:szCs w:val="40"/>
        </w:rPr>
        <w:t xml:space="preserve">(CEGP)</w:t>
      </w:r>
    </w:p>
    <w:p>
      <w:pPr>
        <w:pBdr>
          <w:bottom w:val="single" w:color="01A982" w:sz="10" w:space="4"/>
        </w:pBdr>
        <w:spacing w:after="260"/>
        <w:jc w:val="center"/>
      </w:pPr>
      <w:r>
        <w:t xml:space="preserve"/>
      </w:r>
    </w:p>
    <w:p>
      <w:pPr>
        <w:spacing w:after="360"/>
        <w:jc w:val="center"/>
      </w:pPr>
      <w:r>
        <w:rPr>
          <w:i/>
          <w:iCs/>
          <w:color w:val="5B6675"/>
          <w:sz w:val="24"/>
          <w:szCs w:val="24"/>
        </w:rPr>
        <w:t xml:space="preserve">Risk-based vulnerability prioritisation, remediation governance, and audit-ready evidence</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000"/>
        <w:gridCol w:w="8674"/>
      </w:tblGrid>
      <w:tr>
        <w:trPr>
          <w:tblHeader/>
        </w:trPr>
        <w:tc>
          <w:tcPr>
            <w:tcW w:type="dxa" w:w="3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Field</w:t>
            </w:r>
          </w:p>
        </w:tc>
        <w:tc>
          <w:tcPr>
            <w:tcW w:type="dxa" w:w="86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Project title</w:t>
            </w:r>
          </w:p>
        </w:tc>
        <w:tc>
          <w:tcPr>
            <w:tcW w:type="dxa" w:w="8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Cyber Exposure Governance Platform (CEGP)</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Authors</w:t>
            </w:r>
          </w:p>
        </w:tc>
        <w:tc>
          <w:tcPr>
            <w:tcW w:type="dxa" w:w="8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Dwaipayan Mojumder · Deblina Das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Programme</w:t>
            </w:r>
          </w:p>
        </w:tc>
        <w:tc>
          <w:tcPr>
            <w:tcW w:type="dxa" w:w="8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M.Sc. Cyber Security (4th Semester)</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Under the guidance of</w:t>
            </w:r>
          </w:p>
        </w:tc>
        <w:tc>
          <w:tcPr>
            <w:tcW w:type="dxa" w:w="8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Prof. Sanjay Pal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Document type</w:t>
            </w:r>
          </w:p>
        </w:tc>
        <w:tc>
          <w:tcPr>
            <w:tcW w:type="dxa" w:w="8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Formal Project Report</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Version</w:t>
            </w:r>
          </w:p>
        </w:tc>
        <w:tc>
          <w:tcPr>
            <w:tcW w:type="dxa" w:w="8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Status</w:t>
            </w:r>
          </w:p>
        </w:tc>
        <w:tc>
          <w:tcPr>
            <w:tcW w:type="dxa" w:w="8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Prototype / decision-support tool</w:t>
            </w:r>
          </w:p>
        </w:tc>
      </w:tr>
    </w:tbl>
    <w:p>
      <w:r>
        <w:br w:type="page"/>
      </w:r>
    </w:p>
    <w:p>
      <w:pPr>
        <w:pStyle w:val="Heading1"/>
      </w:pPr>
      <w:r>
        <w:t xml:space="preserve">Table of Contents</w:t>
      </w:r>
    </w:p>
    <w:p>
      <w:pPr>
        <w:spacing w:after="160"/>
      </w:pPr>
      <w:r>
        <w:rPr>
          <w:i/>
          <w:iCs/>
          <w:color w:val="5B6675"/>
          <w:sz w:val="17"/>
          <w:szCs w:val="17"/>
        </w:rPr>
        <w:t xml:space="preserve">In Microsoft Word, right-click anywhere in the list below and choose “Update Field” to populate the section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The Platform Today</w:t>
      </w:r>
    </w:p>
    <w:p>
      <w:pPr>
        <w:pStyle w:val="Heading2"/>
      </w:pPr>
      <w:r>
        <w:t xml:space="preserve">1. Executive Summary</w:t>
      </w:r>
    </w:p>
    <w:p>
      <w:pPr>
        <w:spacing w:after="120" w:line="264"/>
        <w:jc w:val="both"/>
      </w:pPr>
      <w:r>
        <w:rPr>
          <w:rFonts w:ascii="Arial" w:cs="Arial" w:eastAsia="Arial" w:hAnsi="Arial"/>
          <w:b w:val="false"/>
          <w:bCs w:val="false"/>
          <w:color w:val="1F2937"/>
          <w:sz w:val="21"/>
          <w:szCs w:val="21"/>
        </w:rPr>
        <w:t xml:space="preserve">Modern security teams are buried in vulnerability findings. A single mid-sized estate can surface thousands of CVEs, and traditional programmes triage them almost entirely on </w:t>
      </w:r>
      <w:r>
        <w:rPr>
          <w:rFonts w:ascii="Arial" w:cs="Arial" w:eastAsia="Arial" w:hAnsi="Arial"/>
          <w:b/>
          <w:bCs/>
          <w:color w:val="1F2937"/>
          <w:sz w:val="21"/>
          <w:szCs w:val="21"/>
        </w:rPr>
        <w:t xml:space="preserve">technical severity</w:t>
      </w:r>
      <w:r>
        <w:rPr>
          <w:rFonts w:ascii="Arial" w:cs="Arial" w:eastAsia="Arial" w:hAnsi="Arial"/>
          <w:b w:val="false"/>
          <w:bCs w:val="false"/>
          <w:color w:val="1F2937"/>
          <w:sz w:val="21"/>
          <w:szCs w:val="21"/>
        </w:rPr>
        <w:t xml:space="preserve"> (CVSS). The result is a long, undifferentiated list where a low-impact internal finding can outrank a customer-facing system that is being actively exploited right now.</w:t>
      </w:r>
    </w:p>
    <w:p>
      <w:pPr>
        <w:spacing w:after="120" w:line="264"/>
        <w:jc w:val="both"/>
      </w:pPr>
      <w:r>
        <w:rPr>
          <w:rFonts w:ascii="Arial" w:cs="Arial" w:eastAsia="Arial" w:hAnsi="Arial"/>
          <w:b w:val="false"/>
          <w:bCs w:val="false"/>
          <w:color w:val="1F2937"/>
          <w:sz w:val="21"/>
          <w:szCs w:val="21"/>
        </w:rPr>
        <w:t xml:space="preserve">The </w:t>
      </w:r>
      <w:r>
        <w:rPr>
          <w:rFonts w:ascii="Arial" w:cs="Arial" w:eastAsia="Arial" w:hAnsi="Arial"/>
          <w:b/>
          <w:bCs/>
          <w:color w:val="1F2937"/>
          <w:sz w:val="21"/>
          <w:szCs w:val="21"/>
        </w:rPr>
        <w:t xml:space="preserve">Cyber Exposure Governance Platform (CEGP)</w:t>
      </w:r>
      <w:r>
        <w:rPr>
          <w:rFonts w:ascii="Arial" w:cs="Arial" w:eastAsia="Arial" w:hAnsi="Arial"/>
          <w:b w:val="false"/>
          <w:bCs w:val="false"/>
          <w:color w:val="1F2937"/>
          <w:sz w:val="21"/>
          <w:szCs w:val="21"/>
        </w:rPr>
        <w:t xml:space="preserve"> reframes the problem from “how severe is this vulnerability?” to “how much real exposure does this create for our business, and what should we do about it first?”</w:t>
      </w:r>
    </w:p>
    <w:p>
      <w:pPr>
        <w:spacing w:after="120" w:line="264"/>
        <w:jc w:val="both"/>
      </w:pPr>
      <w:r>
        <w:rPr>
          <w:rFonts w:ascii="Arial" w:cs="Arial" w:eastAsia="Arial" w:hAnsi="Arial"/>
          <w:b w:val="false"/>
          <w:bCs w:val="false"/>
          <w:color w:val="1F2937"/>
          <w:sz w:val="21"/>
          <w:szCs w:val="21"/>
        </w:rPr>
        <w:t xml:space="preserve">It does this by </w:t>
      </w:r>
      <w:r>
        <w:rPr>
          <w:rFonts w:ascii="Arial" w:cs="Arial" w:eastAsia="Arial" w:hAnsi="Arial"/>
          <w:b/>
          <w:bCs/>
          <w:color w:val="1F2937"/>
          <w:sz w:val="21"/>
          <w:szCs w:val="21"/>
        </w:rPr>
        <w:t xml:space="preserve">correlating five independent signals</w:t>
      </w:r>
      <w:r>
        <w:rPr>
          <w:rFonts w:ascii="Arial" w:cs="Arial" w:eastAsia="Arial" w:hAnsi="Arial"/>
          <w:b w:val="false"/>
          <w:bCs w:val="false"/>
          <w:color w:val="1F2937"/>
          <w:sz w:val="21"/>
          <w:szCs w:val="21"/>
        </w:rPr>
        <w:t xml:space="preserve"> — threat intelligence, business context, network exposure, live attack evidence, and data-privacy impact — into a single, </w:t>
      </w:r>
      <w:r>
        <w:rPr>
          <w:rFonts w:ascii="Arial" w:cs="Arial" w:eastAsia="Arial" w:hAnsi="Arial"/>
          <w:b/>
          <w:bCs/>
          <w:color w:val="1F2937"/>
          <w:sz w:val="21"/>
          <w:szCs w:val="21"/>
        </w:rPr>
        <w:t xml:space="preserve">explainable 0–100 exposure score</w:t>
      </w:r>
      <w:r>
        <w:rPr>
          <w:rFonts w:ascii="Arial" w:cs="Arial" w:eastAsia="Arial" w:hAnsi="Arial"/>
          <w:b w:val="false"/>
          <w:bCs w:val="false"/>
          <w:color w:val="1F2937"/>
          <w:sz w:val="21"/>
          <w:szCs w:val="21"/>
        </w:rPr>
        <w:t xml:space="preserve">. It then wraps that score in a governance layer: priority-based SLAs, remediation playbooks, risk-acceptance workflows, what-if simulation, and </w:t>
      </w:r>
      <w:r>
        <w:rPr>
          <w:rFonts w:ascii="Arial" w:cs="Arial" w:eastAsia="Arial" w:hAnsi="Arial"/>
          <w:b/>
          <w:bCs/>
          <w:color w:val="1F2937"/>
          <w:sz w:val="21"/>
          <w:szCs w:val="21"/>
        </w:rPr>
        <w:t xml:space="preserve">tamper-evident, audit-ready reporting</w:t>
      </w:r>
      <w:r>
        <w:rPr>
          <w:rFonts w:ascii="Arial" w:cs="Arial" w:eastAsia="Arial" w:hAnsi="Arial"/>
          <w:b w:val="false"/>
          <w:bCs w:val="false"/>
          <w:color w:val="1F2937"/>
          <w:sz w:val="21"/>
          <w:szCs w:val="21"/>
        </w:rPr>
        <w:t xml:space="preserve">.</w:t>
      </w:r>
    </w:p>
    <w:p>
      <w:pPr>
        <w:spacing w:after="120" w:line="264"/>
        <w:jc w:val="both"/>
      </w:pPr>
      <w:r>
        <w:rPr>
          <w:rFonts w:ascii="Arial" w:cs="Arial" w:eastAsia="Arial" w:hAnsi="Arial"/>
          <w:b w:val="false"/>
          <w:bCs w:val="false"/>
          <w:color w:val="1F2937"/>
          <w:sz w:val="21"/>
          <w:szCs w:val="21"/>
        </w:rPr>
        <w:t xml:space="preserve">In short, CEGP is the lightweight decision layer that sits </w:t>
      </w:r>
      <w:r>
        <w:rPr>
          <w:rFonts w:ascii="Arial" w:cs="Arial" w:eastAsia="Arial" w:hAnsi="Arial"/>
          <w:b/>
          <w:bCs/>
          <w:color w:val="1F2937"/>
          <w:sz w:val="21"/>
          <w:szCs w:val="21"/>
        </w:rPr>
        <w:t xml:space="preserve">between a vulnerability scanner and a remediation team</w:t>
      </w:r>
      <w:r>
        <w:rPr>
          <w:rFonts w:ascii="Arial" w:cs="Arial" w:eastAsia="Arial" w:hAnsi="Arial"/>
          <w:b w:val="false"/>
          <w:bCs w:val="false"/>
          <w:color w:val="1F2937"/>
          <w:sz w:val="21"/>
          <w:szCs w:val="21"/>
        </w:rPr>
        <w:t xml:space="preserve"> — and, as Part B explains, it is designed to plug directly into those systems rather than depend on manual file uploads forever.</w:t>
      </w:r>
    </w:p>
    <w:p>
      <w:pPr>
        <w:pStyle w:val="Heading2"/>
      </w:pPr>
      <w:r>
        <w:t xml:space="preserve">2. Problem &amp; Motivation</w:t>
      </w:r>
    </w:p>
    <w:p>
      <w:pPr>
        <w:spacing w:after="120" w:line="264"/>
        <w:jc w:val="both"/>
      </w:pPr>
      <w:r>
        <w:rPr>
          <w:rFonts w:ascii="Arial" w:cs="Arial" w:eastAsia="Arial" w:hAnsi="Arial"/>
          <w:b w:val="false"/>
          <w:bCs w:val="false"/>
          <w:color w:val="1F2937"/>
          <w:sz w:val="21"/>
          <w:szCs w:val="21"/>
        </w:rPr>
        <w:t xml:space="preserve">Standard vulnerability management, driven by CVSS alone, has four structural blind spots:</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800"/>
        <w:gridCol w:w="7874"/>
      </w:tblGrid>
      <w:tr>
        <w:trPr>
          <w:tblHeader/>
        </w:trPr>
        <w:tc>
          <w:tcPr>
            <w:tcW w:type="dxa" w:w="3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Limitation</w:t>
            </w:r>
          </w:p>
        </w:tc>
        <w:tc>
          <w:tcPr>
            <w:tcW w:type="dxa" w:w="7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Why it matters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No real-world threat context</w:t>
            </w:r>
          </w:p>
        </w:tc>
        <w:tc>
          <w:tcPr>
            <w:tcW w:type="dxa" w:w="7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“Critical” CVSS finding may never be exploited, while a “Medium” one is being weaponised in the wild today. Severity is not the same as likelihood.</w:t>
            </w:r>
          </w:p>
        </w:tc>
      </w:tr>
      <w:tr>
        <w:trPr>
          <w:tblHeader w:val="false"/>
        </w:trPr>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No business context</w:t>
            </w:r>
          </w:p>
        </w:tc>
        <w:tc>
          <w:tcPr>
            <w:tcW w:type="dxa" w:w="7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An internal test server and a customer-facing production database are treated identically. Risk is about what is exposed, not just what is broken.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No live detection signal</w:t>
            </w:r>
          </w:p>
        </w:tc>
        <w:tc>
          <w:tcPr>
            <w:tcW w:type="dxa" w:w="7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Scanners do not know which assets are currently under attack, so systems being actively targeted are not escalated.</w:t>
            </w:r>
          </w:p>
        </w:tc>
      </w:tr>
      <w:tr>
        <w:trPr>
          <w:tblHeader w:val="false"/>
        </w:trPr>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No governance or verification</w:t>
            </w:r>
          </w:p>
        </w:tc>
        <w:tc>
          <w:tcPr>
            <w:tcW w:type="dxa" w:w="7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Tracking remediation timelines and proving report integrity for audits (SOC 2, ISO 27001) remains manual and error-prone.</w:t>
            </w:r>
          </w:p>
        </w:tc>
      </w:tr>
    </w:tbl>
    <w:p>
      <w:pPr>
        <w:spacing w:after="120" w:line="264"/>
        <w:jc w:val="both"/>
      </w:pPr>
      <w:r>
        <w:rPr>
          <w:rFonts w:ascii="Arial" w:cs="Arial" w:eastAsia="Arial" w:hAnsi="Arial"/>
          <w:b w:val="false"/>
          <w:bCs w:val="false"/>
          <w:color w:val="1F2937"/>
          <w:sz w:val="21"/>
          <w:szCs w:val="21"/>
        </w:rPr>
        <w:t xml:space="preserve">CEGP was built specifically to close these four gaps in a single, coherent workflow.</w:t>
      </w:r>
    </w:p>
    <w:p>
      <w:pPr>
        <w:pStyle w:val="Heading2"/>
      </w:pPr>
      <w:r>
        <w:t xml:space="preserve">3. Solution Overview</w:t>
      </w:r>
    </w:p>
    <w:p>
      <w:pPr>
        <w:spacing w:after="120" w:line="264"/>
        <w:jc w:val="both"/>
      </w:pPr>
      <w:r>
        <w:rPr>
          <w:rFonts w:ascii="Arial" w:cs="Arial" w:eastAsia="Arial" w:hAnsi="Arial"/>
          <w:b w:val="false"/>
          <w:bCs w:val="false"/>
          <w:color w:val="1F2937"/>
          <w:sz w:val="21"/>
          <w:szCs w:val="21"/>
        </w:rPr>
        <w:t xml:space="preserve">CEGP is a </w:t>
      </w:r>
      <w:r>
        <w:rPr>
          <w:rFonts w:ascii="Arial" w:cs="Arial" w:eastAsia="Arial" w:hAnsi="Arial"/>
          <w:b/>
          <w:bCs/>
          <w:color w:val="1F2937"/>
          <w:sz w:val="21"/>
          <w:szCs w:val="21"/>
        </w:rPr>
        <w:t xml:space="preserve">decision-support product prototype</w:t>
      </w:r>
      <w:r>
        <w:rPr>
          <w:rFonts w:ascii="Arial" w:cs="Arial" w:eastAsia="Arial" w:hAnsi="Arial"/>
          <w:b w:val="false"/>
          <w:bCs w:val="false"/>
          <w:color w:val="1F2937"/>
          <w:sz w:val="21"/>
          <w:szCs w:val="21"/>
        </w:rPr>
        <w:t xml:space="preserve">, not a scanner. It consumes scanner-style data and enriches it until it can answer the three questions a security leader actually cares about:</w:t>
      </w:r>
    </w:p>
    <w:p>
      <w:pPr>
        <w:pStyle w:val="ListParagraph"/>
        <w:numPr>
          <w:ilvl w:val="0"/>
          <w:numId w:val="2"/>
        </w:numPr>
        <w:spacing w:after="60" w:line="260"/>
        <w:jc w:val="both"/>
      </w:pPr>
      <w:r>
        <w:rPr>
          <w:rFonts w:ascii="Arial" w:cs="Arial" w:eastAsia="Arial" w:hAnsi="Arial"/>
          <w:b/>
          <w:bCs/>
          <w:color w:val="1F2937"/>
          <w:sz w:val="21"/>
          <w:szCs w:val="21"/>
        </w:rPr>
        <w:t xml:space="preserve">What is genuinely exposed?</w:t>
      </w:r>
      <w:r>
        <w:rPr>
          <w:rFonts w:ascii="Arial" w:cs="Arial" w:eastAsia="Arial" w:hAnsi="Arial"/>
          <w:b w:val="false"/>
          <w:bCs w:val="false"/>
          <w:color w:val="1F2937"/>
          <w:sz w:val="21"/>
          <w:szCs w:val="21"/>
        </w:rPr>
        <w:t xml:space="preserve"> — Severity fused with exploitation likelihood, business value, network reachability, live attack evidence, and privacy impact.</w:t>
      </w:r>
    </w:p>
    <w:p>
      <w:pPr>
        <w:pStyle w:val="ListParagraph"/>
        <w:numPr>
          <w:ilvl w:val="0"/>
          <w:numId w:val="2"/>
        </w:numPr>
        <w:spacing w:after="60" w:line="260"/>
        <w:jc w:val="both"/>
      </w:pPr>
      <w:r>
        <w:rPr>
          <w:rFonts w:ascii="Arial" w:cs="Arial" w:eastAsia="Arial" w:hAnsi="Arial"/>
          <w:b/>
          <w:bCs/>
          <w:color w:val="1F2937"/>
          <w:sz w:val="21"/>
          <w:szCs w:val="21"/>
        </w:rPr>
        <w:t xml:space="preserve">What do we fix first?</w:t>
      </w:r>
      <w:r>
        <w:rPr>
          <w:rFonts w:ascii="Arial" w:cs="Arial" w:eastAsia="Arial" w:hAnsi="Arial"/>
          <w:b w:val="false"/>
          <w:bCs w:val="false"/>
          <w:color w:val="1F2937"/>
          <w:sz w:val="21"/>
          <w:szCs w:val="21"/>
        </w:rPr>
        <w:t xml:space="preserve"> — A ranked, explainable priority with an assigned owner and a due date.</w:t>
      </w:r>
    </w:p>
    <w:p>
      <w:pPr>
        <w:pStyle w:val="ListParagraph"/>
        <w:numPr>
          <w:ilvl w:val="0"/>
          <w:numId w:val="2"/>
        </w:numPr>
        <w:spacing w:after="60" w:line="260"/>
        <w:jc w:val="both"/>
      </w:pPr>
      <w:r>
        <w:rPr>
          <w:rFonts w:ascii="Arial" w:cs="Arial" w:eastAsia="Arial" w:hAnsi="Arial"/>
          <w:b/>
          <w:bCs/>
          <w:color w:val="1F2937"/>
          <w:sz w:val="21"/>
          <w:szCs w:val="21"/>
        </w:rPr>
        <w:t xml:space="preserve">Can we prove what we did?</w:t>
      </w:r>
      <w:r>
        <w:rPr>
          <w:rFonts w:ascii="Arial" w:cs="Arial" w:eastAsia="Arial" w:hAnsi="Arial"/>
          <w:b w:val="false"/>
          <w:bCs w:val="false"/>
          <w:color w:val="1F2937"/>
          <w:sz w:val="21"/>
          <w:szCs w:val="21"/>
        </w:rPr>
        <w:t xml:space="preserve"> — Signed, tamper-evident reports and an attributed audit trail.</w:t>
      </w:r>
    </w:p>
    <w:p>
      <w:pPr>
        <w:spacing w:after="120" w:line="264"/>
        <w:jc w:val="both"/>
      </w:pPr>
      <w:r>
        <w:rPr>
          <w:rFonts w:ascii="Arial" w:cs="Arial" w:eastAsia="Arial" w:hAnsi="Arial"/>
          <w:b w:val="false"/>
          <w:bCs w:val="false"/>
          <w:color w:val="1F2937"/>
          <w:sz w:val="21"/>
          <w:szCs w:val="21"/>
        </w:rPr>
        <w:t xml:space="preserve">The platform is delivered as a clean, browser-based dashboard. A security analyst uploads (or uses bundled) data, runs an assessment, and immediately sees an executive risk picture, a prioritised work queue, governance status, simulation tools, and exportable evidence.</w:t>
      </w:r>
    </w:p>
    <w:p>
      <w:pPr>
        <w:pStyle w:val="Heading2"/>
      </w:pPr>
      <w:r>
        <w:t xml:space="preserve">4. Cybersecurity Strategies &amp; Techniques Used</w:t>
      </w:r>
    </w:p>
    <w:p>
      <w:pPr>
        <w:spacing w:after="120" w:line="264"/>
        <w:jc w:val="both"/>
      </w:pPr>
      <w:r>
        <w:rPr>
          <w:rFonts w:ascii="Arial" w:cs="Arial" w:eastAsia="Arial" w:hAnsi="Arial"/>
          <w:b w:val="false"/>
          <w:bCs w:val="false"/>
          <w:color w:val="1F2937"/>
          <w:sz w:val="21"/>
          <w:szCs w:val="21"/>
        </w:rPr>
        <w:t xml:space="preserve">CEGP is not a single trick — it is a deliberate combination of recognised cybersecurity strategies, each contributing one part of the risk picture. This section names each technique, explains it briefly, and points to exactly where it appears in the application, so the link between theory and the user interface is explicit.</w:t>
      </w:r>
    </w:p>
    <w:p>
      <w:pPr>
        <w:pStyle w:val="Heading3"/>
      </w:pPr>
      <w:r>
        <w:t xml:space="preserve">4.1 Technique-to-UI map</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3800"/>
        <w:gridCol w:w="4854"/>
      </w:tblGrid>
      <w:tr>
        <w:trPr>
          <w:tblHeader/>
        </w:trPr>
        <w:tc>
          <w:tcPr>
            <w:tcW w:type="dxa" w:w="52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Strategy / technique</w:t>
            </w:r>
          </w:p>
        </w:tc>
        <w:tc>
          <w:tcPr>
            <w:tcW w:type="dxa" w:w="3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What it is</w:t>
            </w:r>
          </w:p>
        </w:tc>
        <w:tc>
          <w:tcPr>
            <w:tcW w:type="dxa" w:w="485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Where it appears in the app</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Risk-Based Vulnerability Management (RBVM)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Prioritising fixes by real-world risk rather than raw severity — the core philosophy of the tool.</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Analyst View → the Security Analyst Exposure Queue; Executive View → Exposure Score KPIs.</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2</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Threat-Intelligence Enrichment</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Augmenting each CVE with external intelligence (KEV, EPSS, CVSS).</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 → KEV vs Non-KEV chart, EPSS distribution; Analyst View → cvss_score, epss_score, kev_status columns.</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Exploit Prediction (EPSS)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Using the probability a CVE will be exploited soon, not just how bad it is.</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 → Risk Matrix Y-axis (likelihood) and EPSS Percentile Distribution.</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4</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Known-Exploited prioritisation (CISA KEV)</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Escalating vulnerabilities confirmed to be exploited in the wild — “weaponised first”.</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 → CISA KEV vs Non-KEV bar; Analyst View → colour-coded kev_status column.</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Attack-Surface / Network-Exposure analysis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Judging how reachable an asset is — internet exposure, zone, ports, firewall, VPN.</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Network Exposure tab → Risk by Network Zone, Risk by Asset Type, per-asset table.</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6</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Detection &amp; Response correlation (IDS/IPS)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Correlating live intrusion alerts to vulnerable hosts to find assets under active attack.</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IDS/IPS Correlation tab → Correlated Alert Severity chart, ids_alert_count, exploit_attempt_detected.</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Data-Centric Security &amp; Privacy protection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Weighting PII, data sensitivity, encryption status and regulatory impact.</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Privacy Impact tab → Privacy Impact Distribution, pii_present, encryption_status, regulatory_impact.</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8</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Business Impact Analysis (BIA)</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Weighting risk by asset criticality, environment and business process.</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 → Top Business Processes, Aggregate Risk by Environment.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Security Governance &amp; SLA Management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Time-bound remediation with due dates, breach tracking and escalation.</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Remediation Governance tab → SLA Governance Status, remediation_due_date, sla_status, escalation_required.</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Risk Acceptance / Exception Management</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Formally accepting or deferring risk with expiry and compensating controls.</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Remediation Governance tab → exception_status, acceptance_reason, exception_validity.</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Security Control Mapping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Mapping each exposure to cybersecurity control domains.</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Remediation Governance tab → Exposures by Cybersecurity Control Area chart.</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12</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What-If / Risk-Reduction Simulation</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Modelling remediation strategies before spending effort.</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Simulation tab → scenario selector and predicted risk-reduction output.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Tamper-Evident Reporting (HMAC-SHA256)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Cryptographically signing reports so they cannot be silently altered.</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Reports &amp; Integrity tab → signed report export and verify-integrity tool.</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14</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Secure Output Handling (injection prevention)</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Sanitising exported spreadsheets against CSV/formula-injection.</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Reports &amp; Integrity tab → all exports sanitised before download.</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Attributed Audit Logging (non-repudiation)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Recording who did what and when.</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Audit Log tab → action history table.</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16</w:t>
            </w:r>
          </w:p>
        </w:tc>
        <w:tc>
          <w:tcPr>
            <w:tcW w:type="dxa" w:w="25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Input Validation &amp; Data-Quality Assurance</w:t>
            </w:r>
          </w:p>
        </w:tc>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Catching malformed CVEs, bad values and duplicates without halting the run.</w:t>
            </w:r>
          </w:p>
        </w:tc>
        <w:tc>
          <w:tcPr>
            <w:tcW w:type="dxa" w:w="48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Audit Log tab → Data Quality Notices section.</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Explainable / Defensible Scoring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Every priority traces back to its contributing factors.</w:t>
            </w:r>
          </w:p>
        </w:tc>
        <w:tc>
          <w:tcPr>
            <w:tcW w:type="dxa" w:w="48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 → Risk Matrix; colour-coded priority across all tables; score_drivers.</w:t>
            </w:r>
          </w:p>
        </w:tc>
      </w:tr>
    </w:tbl>
    <w:p>
      <w:pPr>
        <w:pStyle w:val="Heading3"/>
      </w:pPr>
      <w:r>
        <w:t xml:space="preserve">4.2 The unifying strategy</w:t>
      </w:r>
    </w:p>
    <w:p>
      <w:pPr>
        <w:spacing w:after="120" w:line="264"/>
        <w:jc w:val="both"/>
      </w:pPr>
      <w:r>
        <w:rPr>
          <w:rFonts w:ascii="Arial" w:cs="Arial" w:eastAsia="Arial" w:hAnsi="Arial"/>
          <w:b w:val="false"/>
          <w:bCs w:val="false"/>
          <w:color w:val="1F2937"/>
          <w:sz w:val="21"/>
          <w:szCs w:val="21"/>
        </w:rPr>
        <w:t xml:space="preserve">The single overarching strategy is </w:t>
      </w:r>
      <w:r>
        <w:rPr>
          <w:rFonts w:ascii="Arial" w:cs="Arial" w:eastAsia="Arial" w:hAnsi="Arial"/>
          <w:b/>
          <w:bCs/>
          <w:color w:val="1F2937"/>
          <w:sz w:val="21"/>
          <w:szCs w:val="21"/>
        </w:rPr>
        <w:t xml:space="preserve">multi-signal, business-aware risk prioritisation with governance and evidence</w:t>
      </w:r>
      <w:r>
        <w:rPr>
          <w:rFonts w:ascii="Arial" w:cs="Arial" w:eastAsia="Arial" w:hAnsi="Arial"/>
          <w:b w:val="false"/>
          <w:bCs w:val="false"/>
          <w:color w:val="1F2937"/>
          <w:sz w:val="21"/>
          <w:szCs w:val="21"/>
        </w:rPr>
        <w:t xml:space="preserve">. Threat intelligence (techniques 2–4) answers “how likely and how bad?”; exposure and business analysis (5, 8) answer “how reachable and how important?”; detection and privacy (6, 7) answer “is it under attack and what data is at stake?”; and the governance, simulation, reporting and audit layers (9–16) turn that into accountable, provable action. Explainability (17) ties it together so the output is defensible.</w:t>
      </w:r>
    </w:p>
    <w:p>
      <w:pPr>
        <w:pStyle w:val="Heading2"/>
      </w:pPr>
      <w:r>
        <w:t xml:space="preserve">5. Why This Approach Is Good</w:t>
      </w:r>
    </w:p>
    <w:p>
      <w:pPr>
        <w:spacing w:after="120" w:line="264"/>
        <w:jc w:val="both"/>
      </w:pPr>
      <w:r>
        <w:rPr>
          <w:rFonts w:ascii="Arial" w:cs="Arial" w:eastAsia="Arial" w:hAnsi="Arial"/>
          <w:b w:val="false"/>
          <w:bCs w:val="false"/>
          <w:color w:val="1F2937"/>
          <w:sz w:val="21"/>
          <w:szCs w:val="21"/>
        </w:rPr>
        <w:t xml:space="preserve">A fair question is: plenty of tools score vulnerabilities — why this design, and why these techniques? This section answers it directly.</w:t>
      </w:r>
    </w:p>
    <w:p>
      <w:pPr>
        <w:pStyle w:val="Heading3"/>
      </w:pPr>
      <w:r>
        <w:t xml:space="preserve">5.1 What other options exist in the market?</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3874"/>
      </w:tblGrid>
      <w:tr>
        <w:trPr>
          <w:tblHeader/>
        </w:trPr>
        <w:tc>
          <w:tcPr>
            <w:tcW w:type="dxa" w:w="3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Option</w:t>
            </w:r>
          </w:p>
        </w:tc>
        <w:tc>
          <w:tcPr>
            <w:tcW w:type="dxa" w:w="4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What it does</w:t>
            </w:r>
          </w:p>
        </w:tc>
        <w:tc>
          <w:tcPr>
            <w:tcW w:type="dxa" w:w="3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Limitation it leaves open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CVSS-only triage (spreadsheets, scanner default sort)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Ranks by technical severity.</w:t>
            </w:r>
          </w:p>
        </w:tc>
        <w:tc>
          <w:tcPr>
            <w:tcW w:type="dxa" w:w="3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Ignores exploitation likelihood, business value and live threat — the four gaps in §2.</w:t>
            </w:r>
          </w:p>
        </w:tc>
      </w:tr>
      <w:tr>
        <w:trPr>
          <w:tblHeader w:val="false"/>
        </w:trPr>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Native scanner dashboards (Tenable, Qualys, Rapid7)</w:t>
            </w:r>
          </w:p>
        </w:tc>
        <w:tc>
          <w:tcPr>
            <w:tcW w:type="dxa" w:w="4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Show findings from that scanner.</w:t>
            </w:r>
          </w:p>
        </w:tc>
        <w:tc>
          <w:tcPr>
            <w:tcW w:type="dxa" w:w="3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Tied to one data source; limited business / IDS / privacy correlation in the base product.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SIEM dashboards (Splunk, Sentinel)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Show alerts and detections.</w:t>
            </w:r>
          </w:p>
        </w:tc>
        <w:tc>
          <w:tcPr>
            <w:tcW w:type="dxa" w:w="3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Strong on detection, weak on vulnerability prioritisation and remediation governance.</w:t>
            </w:r>
          </w:p>
        </w:tc>
      </w:tr>
      <w:tr>
        <w:trPr>
          <w:tblHeader w:val="false"/>
        </w:trPr>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GRC platforms (Archer, ServiceNow GRC)</w:t>
            </w:r>
          </w:p>
        </w:tc>
        <w:tc>
          <w:tcPr>
            <w:tcW w:type="dxa" w:w="4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Track risk and compliance.</w:t>
            </w:r>
          </w:p>
        </w:tc>
        <w:tc>
          <w:tcPr>
            <w:tcW w:type="dxa" w:w="3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Governance-heavy, not vulnerability-prioritisation engines.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Quantitative risk methods (e.g. FAIR)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Express risk in financial terms.</w:t>
            </w:r>
          </w:p>
        </w:tc>
        <w:tc>
          <w:tcPr>
            <w:tcW w:type="dxa" w:w="3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Data-hungry and slow; overkill for day-to-day triage.</w:t>
            </w:r>
          </w:p>
        </w:tc>
      </w:tr>
      <w:tr>
        <w:trPr>
          <w:tblHeader w:val="false"/>
        </w:trPr>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Decision frameworks (CISA SSVC)</w:t>
            </w:r>
          </w:p>
        </w:tc>
        <w:tc>
          <w:tcPr>
            <w:tcW w:type="dxa" w:w="4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decision tree for patch urgency.</w:t>
            </w:r>
          </w:p>
        </w:tc>
        <w:tc>
          <w:tcPr>
            <w:tcW w:type="dxa" w:w="3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Excellent and complementary, but coarser than a continuous score.</w:t>
            </w:r>
          </w:p>
        </w:tc>
      </w:tr>
    </w:tbl>
    <w:p>
      <w:pPr>
        <w:pStyle w:val="Heading3"/>
      </w:pPr>
      <w:r>
        <w:t xml:space="preserve">5.2 Are there competitors with similar capabilities?</w:t>
      </w:r>
    </w:p>
    <w:p>
      <w:pPr>
        <w:spacing w:after="120" w:line="264"/>
        <w:jc w:val="both"/>
      </w:pPr>
      <w:r>
        <w:rPr>
          <w:rFonts w:ascii="Arial" w:cs="Arial" w:eastAsia="Arial" w:hAnsi="Arial"/>
          <w:b w:val="false"/>
          <w:bCs w:val="false"/>
          <w:color w:val="1F2937"/>
          <w:sz w:val="21"/>
          <w:szCs w:val="21"/>
        </w:rPr>
        <w:t xml:space="preserve">Yes — </w:t>
      </w:r>
      <w:r>
        <w:rPr>
          <w:rFonts w:ascii="Arial" w:cs="Arial" w:eastAsia="Arial" w:hAnsi="Arial"/>
          <w:b/>
          <w:bCs/>
          <w:color w:val="1F2937"/>
          <w:sz w:val="21"/>
          <w:szCs w:val="21"/>
        </w:rPr>
        <w:t xml:space="preserve">Risk-Based Vulnerability Management (RBVM)</w:t>
      </w:r>
      <w:r>
        <w:rPr>
          <w:rFonts w:ascii="Arial" w:cs="Arial" w:eastAsia="Arial" w:hAnsi="Arial"/>
          <w:b w:val="false"/>
          <w:bCs w:val="false"/>
          <w:color w:val="1F2937"/>
          <w:sz w:val="21"/>
          <w:szCs w:val="21"/>
        </w:rPr>
        <w:t xml:space="preserve"> is an established commercial category. Representative platforms include </w:t>
      </w:r>
      <w:r>
        <w:rPr>
          <w:rFonts w:ascii="Arial" w:cs="Arial" w:eastAsia="Arial" w:hAnsi="Arial"/>
          <w:b/>
          <w:bCs/>
          <w:color w:val="1F2937"/>
          <w:sz w:val="21"/>
          <w:szCs w:val="21"/>
        </w:rPr>
        <w:t xml:space="preserve">Tenable Vulnerability Management (with Lumin / VPR)</w:t>
      </w:r>
      <w:r>
        <w:rPr>
          <w:rFonts w:ascii="Arial" w:cs="Arial" w:eastAsia="Arial" w:hAnsi="Arial"/>
          <w:b w:val="false"/>
          <w:bCs w:val="false"/>
          <w:color w:val="1F2937"/>
          <w:sz w:val="21"/>
          <w:szCs w:val="21"/>
        </w:rPr>
        <w:t xml:space="preserve">, </w:t>
      </w:r>
      <w:r>
        <w:rPr>
          <w:rFonts w:ascii="Arial" w:cs="Arial" w:eastAsia="Arial" w:hAnsi="Arial"/>
          <w:b/>
          <w:bCs/>
          <w:color w:val="1F2937"/>
          <w:sz w:val="21"/>
          <w:szCs w:val="21"/>
        </w:rPr>
        <w:t xml:space="preserve">Qualys VMDR (TruRisk)</w:t>
      </w:r>
      <w:r>
        <w:rPr>
          <w:rFonts w:ascii="Arial" w:cs="Arial" w:eastAsia="Arial" w:hAnsi="Arial"/>
          <w:b w:val="false"/>
          <w:bCs w:val="false"/>
          <w:color w:val="1F2937"/>
          <w:sz w:val="21"/>
          <w:szCs w:val="21"/>
        </w:rPr>
        <w:t xml:space="preserve">, </w:t>
      </w:r>
      <w:r>
        <w:rPr>
          <w:rFonts w:ascii="Arial" w:cs="Arial" w:eastAsia="Arial" w:hAnsi="Arial"/>
          <w:b/>
          <w:bCs/>
          <w:color w:val="1F2937"/>
          <w:sz w:val="21"/>
          <w:szCs w:val="21"/>
        </w:rPr>
        <w:t xml:space="preserve">Rapid7 InsightVM</w:t>
      </w:r>
      <w:r>
        <w:rPr>
          <w:rFonts w:ascii="Arial" w:cs="Arial" w:eastAsia="Arial" w:hAnsi="Arial"/>
          <w:b w:val="false"/>
          <w:bCs w:val="false"/>
          <w:color w:val="1F2937"/>
          <w:sz w:val="21"/>
          <w:szCs w:val="21"/>
        </w:rPr>
        <w:t xml:space="preserve">, </w:t>
      </w:r>
      <w:r>
        <w:rPr>
          <w:rFonts w:ascii="Arial" w:cs="Arial" w:eastAsia="Arial" w:hAnsi="Arial"/>
          <w:b/>
          <w:bCs/>
          <w:color w:val="1F2937"/>
          <w:sz w:val="21"/>
          <w:szCs w:val="21"/>
        </w:rPr>
        <w:t xml:space="preserve">Microsoft Defender Vulnerability Management</w:t>
      </w:r>
      <w:r>
        <w:rPr>
          <w:rFonts w:ascii="Arial" w:cs="Arial" w:eastAsia="Arial" w:hAnsi="Arial"/>
          <w:b w:val="false"/>
          <w:bCs w:val="false"/>
          <w:color w:val="1F2937"/>
          <w:sz w:val="21"/>
          <w:szCs w:val="21"/>
        </w:rPr>
        <w:t xml:space="preserve">, and specialised risk-prioritisation tools such as </w:t>
      </w:r>
      <w:r>
        <w:rPr>
          <w:rFonts w:ascii="Arial" w:cs="Arial" w:eastAsia="Arial" w:hAnsi="Arial"/>
          <w:b/>
          <w:bCs/>
          <w:color w:val="1F2937"/>
          <w:sz w:val="21"/>
          <w:szCs w:val="21"/>
        </w:rPr>
        <w:t xml:space="preserve">Cisco Vulnerability Management (formerly Kenna Security)</w:t>
      </w:r>
      <w:r>
        <w:rPr>
          <w:rFonts w:ascii="Arial" w:cs="Arial" w:eastAsia="Arial" w:hAnsi="Arial"/>
          <w:b w:val="false"/>
          <w:bCs w:val="false"/>
          <w:color w:val="1F2937"/>
          <w:sz w:val="21"/>
          <w:szCs w:val="21"/>
        </w:rPr>
        <w:t xml:space="preserve">, </w:t>
      </w:r>
      <w:r>
        <w:rPr>
          <w:rFonts w:ascii="Arial" w:cs="Arial" w:eastAsia="Arial" w:hAnsi="Arial"/>
          <w:b/>
          <w:bCs/>
          <w:color w:val="1F2937"/>
          <w:sz w:val="21"/>
          <w:szCs w:val="21"/>
        </w:rPr>
        <w:t xml:space="preserve">Nucleus Security</w:t>
      </w:r>
      <w:r>
        <w:rPr>
          <w:rFonts w:ascii="Arial" w:cs="Arial" w:eastAsia="Arial" w:hAnsi="Arial"/>
          <w:b w:val="false"/>
          <w:bCs w:val="false"/>
          <w:color w:val="1F2937"/>
          <w:sz w:val="21"/>
          <w:szCs w:val="21"/>
        </w:rPr>
        <w:t xml:space="preserve">, </w:t>
      </w:r>
      <w:r>
        <w:rPr>
          <w:rFonts w:ascii="Arial" w:cs="Arial" w:eastAsia="Arial" w:hAnsi="Arial"/>
          <w:b/>
          <w:bCs/>
          <w:color w:val="1F2937"/>
          <w:sz w:val="21"/>
          <w:szCs w:val="21"/>
        </w:rPr>
        <w:t xml:space="preserve">Brinqa</w:t>
      </w:r>
      <w:r>
        <w:rPr>
          <w:rFonts w:ascii="Arial" w:cs="Arial" w:eastAsia="Arial" w:hAnsi="Arial"/>
          <w:b w:val="false"/>
          <w:bCs w:val="false"/>
          <w:color w:val="1F2937"/>
          <w:sz w:val="21"/>
          <w:szCs w:val="21"/>
        </w:rPr>
        <w:t xml:space="preserve">, and </w:t>
      </w:r>
      <w:r>
        <w:rPr>
          <w:rFonts w:ascii="Arial" w:cs="Arial" w:eastAsia="Arial" w:hAnsi="Arial"/>
          <w:b/>
          <w:bCs/>
          <w:color w:val="1F2937"/>
          <w:sz w:val="21"/>
          <w:szCs w:val="21"/>
        </w:rPr>
        <w:t xml:space="preserve">Vulcan Cyber</w:t>
      </w:r>
      <w:r>
        <w:rPr>
          <w:rFonts w:ascii="Arial" w:cs="Arial" w:eastAsia="Arial" w:hAnsi="Arial"/>
          <w:b w:val="false"/>
          <w:bCs w:val="false"/>
          <w:color w:val="1F2937"/>
          <w:sz w:val="21"/>
          <w:szCs w:val="21"/>
        </w:rPr>
        <w:t xml:space="preserve">.</w:t>
      </w:r>
    </w:p>
    <w:p>
      <w:pPr>
        <w:spacing w:after="120" w:line="264"/>
        <w:jc w:val="both"/>
      </w:pPr>
      <w:r>
        <w:rPr>
          <w:rFonts w:ascii="Arial" w:cs="Arial" w:eastAsia="Arial" w:hAnsi="Arial"/>
          <w:b w:val="false"/>
          <w:bCs w:val="false"/>
          <w:color w:val="1F2937"/>
          <w:sz w:val="21"/>
          <w:szCs w:val="21"/>
        </w:rPr>
        <w:t xml:space="preserve">These are mature, powerful enterprise products. But they are also expensive, complex, and often tied to a vendor’s own scanner, and several treat business context, live IDS correlation, data-privacy impact, and tamper-evident reporting as separate add-ons rather than a single explainable score. CEGP demonstrates the same core idea — risk-based, multi-signal prioritisation — in a </w:t>
      </w:r>
      <w:r>
        <w:rPr>
          <w:rFonts w:ascii="Arial" w:cs="Arial" w:eastAsia="Arial" w:hAnsi="Arial"/>
          <w:b/>
          <w:bCs/>
          <w:color w:val="1F2937"/>
          <w:sz w:val="21"/>
          <w:szCs w:val="21"/>
        </w:rPr>
        <w:t xml:space="preserve">transparent, lightweight, vendor-neutral</w:t>
      </w:r>
      <w:r>
        <w:rPr>
          <w:rFonts w:ascii="Arial" w:cs="Arial" w:eastAsia="Arial" w:hAnsi="Arial"/>
          <w:b w:val="false"/>
          <w:bCs w:val="false"/>
          <w:color w:val="1F2937"/>
          <w:sz w:val="21"/>
          <w:szCs w:val="21"/>
        </w:rPr>
        <w:t xml:space="preserve"> form.</w:t>
      </w:r>
    </w:p>
    <w:p>
      <w:pPr>
        <w:pStyle w:val="Heading3"/>
      </w:pPr>
      <w:r>
        <w:t xml:space="preserve">5.3 What are this app’s capabilities (the differentiators)?</w:t>
      </w:r>
    </w:p>
    <w:p>
      <w:pPr>
        <w:pStyle w:val="ListParagraph"/>
        <w:numPr>
          <w:ilvl w:val="0"/>
          <w:numId w:val="2"/>
        </w:numPr>
        <w:spacing w:after="60" w:line="260"/>
        <w:jc w:val="both"/>
      </w:pPr>
      <w:r>
        <w:rPr>
          <w:rFonts w:ascii="Arial" w:cs="Arial" w:eastAsia="Arial" w:hAnsi="Arial"/>
          <w:b/>
          <w:bCs/>
          <w:color w:val="1F2937"/>
          <w:sz w:val="21"/>
          <w:szCs w:val="21"/>
        </w:rPr>
        <w:t xml:space="preserve">Five signals in one score</w:t>
      </w:r>
      <w:r>
        <w:rPr>
          <w:rFonts w:ascii="Arial" w:cs="Arial" w:eastAsia="Arial" w:hAnsi="Arial"/>
          <w:b w:val="false"/>
          <w:bCs w:val="false"/>
          <w:color w:val="1F2937"/>
          <w:sz w:val="21"/>
          <w:szCs w:val="21"/>
        </w:rPr>
        <w:t xml:space="preserve"> — threat intel + business + network + live IDS + privacy, not just severity.</w:t>
      </w:r>
    </w:p>
    <w:p>
      <w:pPr>
        <w:pStyle w:val="ListParagraph"/>
        <w:numPr>
          <w:ilvl w:val="0"/>
          <w:numId w:val="2"/>
        </w:numPr>
        <w:spacing w:after="60" w:line="260"/>
        <w:jc w:val="both"/>
      </w:pPr>
      <w:r>
        <w:rPr>
          <w:rFonts w:ascii="Arial" w:cs="Arial" w:eastAsia="Arial" w:hAnsi="Arial"/>
          <w:b/>
          <w:bCs/>
          <w:color w:val="1F2937"/>
          <w:sz w:val="21"/>
          <w:szCs w:val="21"/>
        </w:rPr>
        <w:t xml:space="preserve">Fully explainable</w:t>
      </w:r>
      <w:r>
        <w:rPr>
          <w:rFonts w:ascii="Arial" w:cs="Arial" w:eastAsia="Arial" w:hAnsi="Arial"/>
          <w:b w:val="false"/>
          <w:bCs w:val="false"/>
          <w:color w:val="1F2937"/>
          <w:sz w:val="21"/>
          <w:szCs w:val="21"/>
        </w:rPr>
        <w:t xml:space="preserve"> — every point of the 0–100 score traces to a factor; nothing is a black box.</w:t>
      </w:r>
    </w:p>
    <w:p>
      <w:pPr>
        <w:pStyle w:val="ListParagraph"/>
        <w:numPr>
          <w:ilvl w:val="0"/>
          <w:numId w:val="2"/>
        </w:numPr>
        <w:spacing w:after="60" w:line="260"/>
        <w:jc w:val="both"/>
      </w:pPr>
      <w:r>
        <w:rPr>
          <w:rFonts w:ascii="Arial" w:cs="Arial" w:eastAsia="Arial" w:hAnsi="Arial"/>
          <w:b/>
          <w:bCs/>
          <w:color w:val="1F2937"/>
          <w:sz w:val="21"/>
          <w:szCs w:val="21"/>
        </w:rPr>
        <w:t xml:space="preserve">Live-threat aware</w:t>
      </w:r>
      <w:r>
        <w:rPr>
          <w:rFonts w:ascii="Arial" w:cs="Arial" w:eastAsia="Arial" w:hAnsi="Arial"/>
          <w:b w:val="false"/>
          <w:bCs w:val="false"/>
          <w:color w:val="1F2937"/>
          <w:sz w:val="21"/>
          <w:szCs w:val="21"/>
        </w:rPr>
        <w:t xml:space="preserve"> — IDS/IPS correlation flags assets under active attack, a signal pure scanners lack.</w:t>
      </w:r>
    </w:p>
    <w:p>
      <w:pPr>
        <w:pStyle w:val="ListParagraph"/>
        <w:numPr>
          <w:ilvl w:val="0"/>
          <w:numId w:val="2"/>
        </w:numPr>
        <w:spacing w:after="60" w:line="260"/>
        <w:jc w:val="both"/>
      </w:pPr>
      <w:r>
        <w:rPr>
          <w:rFonts w:ascii="Arial" w:cs="Arial" w:eastAsia="Arial" w:hAnsi="Arial"/>
          <w:b/>
          <w:bCs/>
          <w:color w:val="1F2937"/>
          <w:sz w:val="21"/>
          <w:szCs w:val="21"/>
        </w:rPr>
        <w:t xml:space="preserve">Privacy as a first-class dimension</w:t>
      </w:r>
      <w:r>
        <w:rPr>
          <w:rFonts w:ascii="Arial" w:cs="Arial" w:eastAsia="Arial" w:hAnsi="Arial"/>
          <w:b w:val="false"/>
          <w:bCs w:val="false"/>
          <w:color w:val="1F2937"/>
          <w:sz w:val="21"/>
          <w:szCs w:val="21"/>
        </w:rPr>
        <w:t xml:space="preserve"> — PII, encryption and regulatory impact are scored, not ignored.</w:t>
      </w:r>
    </w:p>
    <w:p>
      <w:pPr>
        <w:pStyle w:val="ListParagraph"/>
        <w:numPr>
          <w:ilvl w:val="0"/>
          <w:numId w:val="2"/>
        </w:numPr>
        <w:spacing w:after="60" w:line="260"/>
        <w:jc w:val="both"/>
      </w:pPr>
      <w:r>
        <w:rPr>
          <w:rFonts w:ascii="Arial" w:cs="Arial" w:eastAsia="Arial" w:hAnsi="Arial"/>
          <w:b/>
          <w:bCs/>
          <w:color w:val="1F2937"/>
          <w:sz w:val="21"/>
          <w:szCs w:val="21"/>
        </w:rPr>
        <w:t xml:space="preserve">Governance + simulation + evidence built in</w:t>
      </w:r>
      <w:r>
        <w:rPr>
          <w:rFonts w:ascii="Arial" w:cs="Arial" w:eastAsia="Arial" w:hAnsi="Arial"/>
          <w:b w:val="false"/>
          <w:bCs w:val="false"/>
          <w:color w:val="1F2937"/>
          <w:sz w:val="21"/>
          <w:szCs w:val="21"/>
        </w:rPr>
        <w:t xml:space="preserve"> — SLAs, exceptions, what-if modelling, signed reports and an audit trail in the same tool.</w:t>
      </w:r>
    </w:p>
    <w:p>
      <w:pPr>
        <w:pStyle w:val="ListParagraph"/>
        <w:numPr>
          <w:ilvl w:val="0"/>
          <w:numId w:val="2"/>
        </w:numPr>
        <w:spacing w:after="60" w:line="260"/>
        <w:jc w:val="both"/>
      </w:pPr>
      <w:r>
        <w:rPr>
          <w:rFonts w:ascii="Arial" w:cs="Arial" w:eastAsia="Arial" w:hAnsi="Arial"/>
          <w:b/>
          <w:bCs/>
          <w:color w:val="1F2937"/>
          <w:sz w:val="21"/>
          <w:szCs w:val="21"/>
        </w:rPr>
        <w:t xml:space="preserve">Vendor-neutral and integration-ready</w:t>
      </w:r>
      <w:r>
        <w:rPr>
          <w:rFonts w:ascii="Arial" w:cs="Arial" w:eastAsia="Arial" w:hAnsi="Arial"/>
          <w:b w:val="false"/>
          <w:bCs w:val="false"/>
          <w:color w:val="1F2937"/>
          <w:sz w:val="21"/>
          <w:szCs w:val="21"/>
        </w:rPr>
        <w:t xml:space="preserve"> — consumes any scanner’s export today and is designed for live connectors tomorrow (Part B).</w:t>
      </w:r>
    </w:p>
    <w:p>
      <w:pPr>
        <w:pStyle w:val="ListParagraph"/>
        <w:numPr>
          <w:ilvl w:val="0"/>
          <w:numId w:val="2"/>
        </w:numPr>
        <w:spacing w:after="60" w:line="260"/>
        <w:jc w:val="both"/>
      </w:pPr>
      <w:r>
        <w:rPr>
          <w:rFonts w:ascii="Arial" w:cs="Arial" w:eastAsia="Arial" w:hAnsi="Arial"/>
          <w:b/>
          <w:bCs/>
          <w:color w:val="1F2937"/>
          <w:sz w:val="21"/>
          <w:szCs w:val="21"/>
        </w:rPr>
        <w:t xml:space="preserve">Transparent and low-cost</w:t>
      </w:r>
      <w:r>
        <w:rPr>
          <w:rFonts w:ascii="Arial" w:cs="Arial" w:eastAsia="Arial" w:hAnsi="Arial"/>
          <w:b w:val="false"/>
          <w:bCs w:val="false"/>
          <w:color w:val="1F2937"/>
          <w:sz w:val="21"/>
          <w:szCs w:val="21"/>
        </w:rPr>
        <w:t xml:space="preserve"> — runs on open components, ideal for learning, SMBs, and rapid evaluation.</w:t>
      </w:r>
    </w:p>
    <w:p>
      <w:pPr>
        <w:pStyle w:val="Heading3"/>
      </w:pPr>
      <w:r>
        <w:t xml:space="preserve">5.4 What if a different technique were used instead?</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800"/>
        <w:gridCol w:w="7874"/>
      </w:tblGrid>
      <w:tr>
        <w:trPr>
          <w:tblHeader/>
        </w:trPr>
        <w:tc>
          <w:tcPr>
            <w:tcW w:type="dxa" w:w="3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Instead of the blended model…</w:t>
            </w:r>
          </w:p>
        </w:tc>
        <w:tc>
          <w:tcPr>
            <w:tcW w:type="dxa" w:w="7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Trade-off</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CVSS only</w:t>
            </w:r>
          </w:p>
        </w:tc>
        <w:tc>
          <w:tcPr>
            <w:tcW w:type="dxa" w:w="7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Simple, but you over-invest in severe-yet-unexploited issues and miss exploited “Medium” ones.</w:t>
            </w:r>
          </w:p>
        </w:tc>
      </w:tr>
      <w:tr>
        <w:trPr>
          <w:tblHeader w:val="false"/>
        </w:trPr>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EPSS only</w:t>
            </w:r>
          </w:p>
        </w:tc>
        <w:tc>
          <w:tcPr>
            <w:tcW w:type="dxa" w:w="7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Captures likelihood but ignores how bad or how important the asset is.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KEV only</w:t>
            </w:r>
          </w:p>
        </w:tc>
        <w:tc>
          <w:tcPr>
            <w:tcW w:type="dxa" w:w="7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useful binary flag, but misses CVEs trending toward exploitation that are not listed yet.</w:t>
            </w:r>
          </w:p>
        </w:tc>
      </w:tr>
      <w:tr>
        <w:trPr>
          <w:tblHeader w:val="false"/>
        </w:trPr>
        <w:tc>
          <w:tcPr>
            <w:tcW w:type="dxa" w:w="3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Pure quantitative (FAIR)</w:t>
            </w:r>
          </w:p>
        </w:tc>
        <w:tc>
          <w:tcPr>
            <w:tcW w:type="dxa" w:w="7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Rigorous and financial, but heavy, data-hungry, and impractical for fast daily triage.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SSVC decision tree</w:t>
            </w:r>
          </w:p>
        </w:tc>
        <w:tc>
          <w:tcPr>
            <w:tcW w:type="dxa" w:w="7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Transparent and excellent — CEGP’s logic is compatible with it — but produces coarse buckets rather than a continuous, rankable score.</w:t>
            </w:r>
          </w:p>
        </w:tc>
      </w:tr>
    </w:tbl>
    <w:p>
      <w:pPr>
        <w:spacing w:after="120" w:line="264"/>
        <w:jc w:val="both"/>
      </w:pPr>
      <w:r>
        <w:rPr>
          <w:rFonts w:ascii="Arial" w:cs="Arial" w:eastAsia="Arial" w:hAnsi="Arial"/>
          <w:b w:val="false"/>
          <w:bCs w:val="false"/>
          <w:color w:val="1F2937"/>
          <w:sz w:val="21"/>
          <w:szCs w:val="21"/>
        </w:rPr>
        <w:t xml:space="preserve">CEGP deliberately </w:t>
      </w:r>
      <w:r>
        <w:rPr>
          <w:rFonts w:ascii="Arial" w:cs="Arial" w:eastAsia="Arial" w:hAnsi="Arial"/>
          <w:b/>
          <w:bCs/>
          <w:color w:val="1F2937"/>
          <w:sz w:val="21"/>
          <w:szCs w:val="21"/>
        </w:rPr>
        <w:t xml:space="preserve">blends</w:t>
      </w:r>
      <w:r>
        <w:rPr>
          <w:rFonts w:ascii="Arial" w:cs="Arial" w:eastAsia="Arial" w:hAnsi="Arial"/>
          <w:b w:val="false"/>
          <w:bCs w:val="false"/>
          <w:color w:val="1F2937"/>
          <w:sz w:val="21"/>
          <w:szCs w:val="21"/>
        </w:rPr>
        <w:t xml:space="preserve"> these into a weighted, tunable model: it keeps CVSS’s severity, adds EPSS likelihood and KEV confirmation, and layers business, network, IDS and privacy context — capturing each technique’s strength while compensating for its individual blind spot.</w:t>
      </w:r>
    </w:p>
    <w:p>
      <w:pPr>
        <w:pStyle w:val="Heading3"/>
      </w:pPr>
      <w:r>
        <w:t xml:space="preserve">5.5 Why should I use this product?</w:t>
      </w:r>
    </w:p>
    <w:p>
      <w:pPr>
        <w:spacing w:after="120" w:line="264"/>
        <w:jc w:val="both"/>
      </w:pPr>
      <w:r>
        <w:rPr>
          <w:rFonts w:ascii="Arial" w:cs="Arial" w:eastAsia="Arial" w:hAnsi="Arial"/>
          <w:b w:val="false"/>
          <w:bCs w:val="false"/>
          <w:color w:val="1F2937"/>
          <w:sz w:val="21"/>
          <w:szCs w:val="21"/>
        </w:rPr>
        <w:t xml:space="preserve">Because it gives a security team the one thing CVSS-only programmes cannot: a ranked, defensible answer to “what do we fix first, and why?” that already accounts for real-world exploitation, business value, live attack evidence, and data sensitivity — and then carries that decision through to SLAs, simulation, signed reporting, and an audit trail. It is </w:t>
      </w:r>
      <w:r>
        <w:rPr>
          <w:rFonts w:ascii="Arial" w:cs="Arial" w:eastAsia="Arial" w:hAnsi="Arial"/>
          <w:b/>
          <w:bCs/>
          <w:color w:val="1F2937"/>
          <w:sz w:val="21"/>
          <w:szCs w:val="21"/>
        </w:rPr>
        <w:t xml:space="preserve">explainable</w:t>
      </w:r>
      <w:r>
        <w:rPr>
          <w:rFonts w:ascii="Arial" w:cs="Arial" w:eastAsia="Arial" w:hAnsi="Arial"/>
          <w:b w:val="false"/>
          <w:bCs w:val="false"/>
          <w:color w:val="1F2937"/>
          <w:sz w:val="21"/>
          <w:szCs w:val="21"/>
        </w:rPr>
        <w:t xml:space="preserve"> (so it survives scrutiny from auditors and senior engineers), </w:t>
      </w:r>
      <w:r>
        <w:rPr>
          <w:rFonts w:ascii="Arial" w:cs="Arial" w:eastAsia="Arial" w:hAnsi="Arial"/>
          <w:b/>
          <w:bCs/>
          <w:color w:val="1F2937"/>
          <w:sz w:val="21"/>
          <w:szCs w:val="21"/>
        </w:rPr>
        <w:t xml:space="preserve">lightweight and vendor-neutral</w:t>
      </w:r>
      <w:r>
        <w:rPr>
          <w:rFonts w:ascii="Arial" w:cs="Arial" w:eastAsia="Arial" w:hAnsi="Arial"/>
          <w:b w:val="false"/>
          <w:bCs w:val="false"/>
          <w:color w:val="1F2937"/>
          <w:sz w:val="21"/>
          <w:szCs w:val="21"/>
        </w:rPr>
        <w:t xml:space="preserve"> (so it fits any environment), and </w:t>
      </w:r>
      <w:r>
        <w:rPr>
          <w:rFonts w:ascii="Arial" w:cs="Arial" w:eastAsia="Arial" w:hAnsi="Arial"/>
          <w:b/>
          <w:bCs/>
          <w:color w:val="1F2937"/>
          <w:sz w:val="21"/>
          <w:szCs w:val="21"/>
        </w:rPr>
        <w:t xml:space="preserve">integration-ready</w:t>
      </w:r>
      <w:r>
        <w:rPr>
          <w:rFonts w:ascii="Arial" w:cs="Arial" w:eastAsia="Arial" w:hAnsi="Arial"/>
          <w:b w:val="false"/>
          <w:bCs w:val="false"/>
          <w:color w:val="1F2937"/>
          <w:sz w:val="21"/>
          <w:szCs w:val="21"/>
        </w:rPr>
        <w:t xml:space="preserve"> (so it scales from a demo to a live enterprise service). For learning, evaluation, or a focused programme, it delivers enterprise-grade prioritisation thinking without enterprise cost or lock-in.</w:t>
      </w:r>
    </w:p>
    <w:p>
      <w:pPr>
        <w:pStyle w:val="Heading2"/>
      </w:pPr>
      <w:r>
        <w:t xml:space="preserve">6. Core Capabilities</w:t>
      </w:r>
    </w:p>
    <w:p>
      <w:pPr>
        <w:spacing w:after="120" w:line="264"/>
        <w:jc w:val="both"/>
      </w:pPr>
      <w:r>
        <w:rPr>
          <w:rFonts w:ascii="Arial" w:cs="Arial" w:eastAsia="Arial" w:hAnsi="Arial"/>
          <w:b w:val="false"/>
          <w:bCs w:val="false"/>
          <w:color w:val="1F2937"/>
          <w:sz w:val="21"/>
          <w:szCs w:val="21"/>
        </w:rPr>
        <w:t xml:space="preserve">The platform supports an end-to-end risk-management lifecycle:</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8154"/>
      </w:tblGrid>
      <w:tr>
        <w:trPr>
          <w:tblHeader/>
        </w:trPr>
        <w:tc>
          <w:tcPr>
            <w:tcW w:type="dxa" w:w="52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Capability</w:t>
            </w:r>
          </w:p>
        </w:tc>
        <w:tc>
          <w:tcPr>
            <w:tcW w:type="dxa" w:w="815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Description</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Multi-source ingestion</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Reads CSV and Excel (.xlsx, .xls); normalises scanner-style exports into one unified schema.</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2</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Threat-intelligence enrichment</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Correlates each CVE with CISA KEV, EPSS, and CVSS.</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Business-context correlation</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Joins findings to asset criticality, business process, owner, environment, and data sensitivity.</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4</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Network-exposure mapping</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Factors in network zone, open ports, firewall posture, and VPN requirement.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Live alert correlation</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Matches IDS/IPS events to vulnerable hosts to flag assets under active target attempts.</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6</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Privacy-risk quantification</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Scores PII presence, data sensitivity, encryption status, and regulatory impact.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Configurable risk policy</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Scoring weights, priority thresholds, and SLAs are externalised so leaders can tune them to risk appetite.</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8</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Playbooks &amp; SLA governance</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Assigns due dates by priority, raises escalations on breach, and generates remediation guidance.</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What-if simulation</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Models patch/control strategies and shows the predicted reduction in overall risk before spending effort.</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Tamper-evident reporting</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Signs exported reports cryptographically so they cannot be silently altered after export.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Attributed audit logging</w:t>
            </w:r>
          </w:p>
        </w:tc>
        <w:tc>
          <w:tcPr>
            <w:tcW w:type="dxa" w:w="815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Records who performed each action and when, for compliance review.</w:t>
            </w:r>
          </w:p>
        </w:tc>
      </w:tr>
      <w:tr>
        <w:trPr>
          <w:tblHeader w:val="false"/>
        </w:trPr>
        <w:tc>
          <w:tcPr>
            <w:tcW w:type="dxa" w:w="52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12</w:t>
            </w:r>
          </w:p>
        </w:tc>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Control-area mapping</w:t>
            </w:r>
          </w:p>
        </w:tc>
        <w:tc>
          <w:tcPr>
            <w:tcW w:type="dxa" w:w="815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Maps each exposure to cybersecurity control domains for a governance view.</w:t>
            </w:r>
          </w:p>
        </w:tc>
      </w:tr>
    </w:tbl>
    <w:p>
      <w:pPr>
        <w:pStyle w:val="Heading2"/>
      </w:pPr>
      <w:r>
        <w:t xml:space="preserve">7. How It Works — The Processing Pipeline</w:t>
      </w:r>
    </w:p>
    <w:p>
      <w:pPr>
        <w:spacing w:after="120" w:line="264"/>
        <w:jc w:val="both"/>
      </w:pPr>
      <w:r>
        <w:rPr>
          <w:rFonts w:ascii="Arial" w:cs="Arial" w:eastAsia="Arial" w:hAnsi="Arial"/>
          <w:b w:val="false"/>
          <w:bCs w:val="false"/>
          <w:color w:val="1F2937"/>
          <w:sz w:val="21"/>
          <w:szCs w:val="21"/>
        </w:rPr>
        <w:t xml:space="preserve">Each assessment flows through seven phases, every one adding a layer of intelligence.</w:t>
      </w:r>
    </w:p>
    <w:p>
      <w:pPr>
        <w:spacing w:after="120" w:line="264"/>
        <w:jc w:val="both"/>
      </w:pPr>
      <w:r>
        <w:rPr>
          <w:rFonts w:ascii="Arial" w:cs="Arial" w:eastAsia="Arial" w:hAnsi="Arial"/>
          <w:b/>
          <w:bCs/>
          <w:color w:val="1F2937"/>
          <w:sz w:val="21"/>
          <w:szCs w:val="21"/>
        </w:rPr>
        <w:t xml:space="preserve">Phase 1 — Ingestion &amp; sanitisation.</w:t>
      </w:r>
      <w:r>
        <w:rPr>
          <w:rFonts w:ascii="Arial" w:cs="Arial" w:eastAsia="Arial" w:hAnsi="Arial"/>
          <w:b w:val="false"/>
          <w:bCs w:val="false"/>
          <w:color w:val="1F2937"/>
          <w:sz w:val="21"/>
          <w:szCs w:val="21"/>
        </w:rPr>
        <w:t xml:space="preserve"> Reads CSV/Excel, normalises column names, checks required fields, maps optional fields, and validates formatting. Non-blocking data-quality issues (an invalid CVE format, an unexpected value, a duplicate row) are captured and surfaced separately for review rather than halting the run.</w:t>
      </w:r>
    </w:p>
    <w:p>
      <w:pPr>
        <w:spacing w:after="120" w:line="264"/>
        <w:jc w:val="both"/>
      </w:pPr>
      <w:r>
        <w:rPr>
          <w:rFonts w:ascii="Arial" w:cs="Arial" w:eastAsia="Arial" w:hAnsi="Arial"/>
          <w:b/>
          <w:bCs/>
          <w:color w:val="1F2937"/>
          <w:sz w:val="21"/>
          <w:szCs w:val="21"/>
        </w:rPr>
        <w:t xml:space="preserve">Phase 2 — Threat-intelligence contextualisation.</w:t>
      </w:r>
      <w:r>
        <w:rPr>
          <w:rFonts w:ascii="Arial" w:cs="Arial" w:eastAsia="Arial" w:hAnsi="Arial"/>
          <w:b w:val="false"/>
          <w:bCs w:val="false"/>
          <w:color w:val="1F2937"/>
          <w:sz w:val="21"/>
          <w:szCs w:val="21"/>
        </w:rPr>
        <w:t xml:space="preserve"> Each CVE is enriched with whether it is actively exploited (CISA KEV), its 30-day exploitation probability (EPSS), and its technical severity (CVSS).</w:t>
      </w:r>
    </w:p>
    <w:p>
      <w:pPr>
        <w:spacing w:after="120" w:line="264"/>
        <w:jc w:val="both"/>
      </w:pPr>
      <w:r>
        <w:rPr>
          <w:rFonts w:ascii="Arial" w:cs="Arial" w:eastAsia="Arial" w:hAnsi="Arial"/>
          <w:b/>
          <w:bCs/>
          <w:color w:val="1F2937"/>
          <w:sz w:val="21"/>
          <w:szCs w:val="21"/>
        </w:rPr>
        <w:t xml:space="preserve">Phase 3 — Asset &amp; network context merging.</w:t>
      </w:r>
      <w:r>
        <w:rPr>
          <w:rFonts w:ascii="Arial" w:cs="Arial" w:eastAsia="Arial" w:hAnsi="Arial"/>
          <w:b w:val="false"/>
          <w:bCs w:val="false"/>
          <w:color w:val="1F2937"/>
          <w:sz w:val="21"/>
          <w:szCs w:val="21"/>
        </w:rPr>
        <w:t xml:space="preserve"> Findings are joined to the asset inventory to derive business impact (criticality, environment, process relevance) and network exposure (zone, open ports, firewall, VPN requirement).</w:t>
      </w:r>
    </w:p>
    <w:p>
      <w:pPr>
        <w:spacing w:after="120" w:line="264"/>
        <w:jc w:val="both"/>
      </w:pPr>
      <w:r>
        <w:rPr>
          <w:rFonts w:ascii="Arial" w:cs="Arial" w:eastAsia="Arial" w:hAnsi="Arial"/>
          <w:b/>
          <w:bCs/>
          <w:color w:val="1F2937"/>
          <w:sz w:val="21"/>
          <w:szCs w:val="21"/>
        </w:rPr>
        <w:t xml:space="preserve">Phase 4 — Active-threat &amp; privacy mapping.</w:t>
      </w:r>
      <w:r>
        <w:rPr>
          <w:rFonts w:ascii="Arial" w:cs="Arial" w:eastAsia="Arial" w:hAnsi="Arial"/>
          <w:b w:val="false"/>
          <w:bCs w:val="false"/>
          <w:color w:val="1F2937"/>
          <w:sz w:val="21"/>
          <w:szCs w:val="21"/>
        </w:rPr>
        <w:t xml:space="preserve"> IDS/IPS events are correlated to each vulnerable asset (assets under active attempts are flagged for expedited action), and privacy impact is evaluated from PII, sensitivity, encryption, and regulatory factors.</w:t>
      </w:r>
    </w:p>
    <w:p>
      <w:pPr>
        <w:spacing w:after="120" w:line="264"/>
        <w:jc w:val="both"/>
      </w:pPr>
      <w:r>
        <w:rPr>
          <w:rFonts w:ascii="Arial" w:cs="Arial" w:eastAsia="Arial" w:hAnsi="Arial"/>
          <w:b/>
          <w:bCs/>
          <w:color w:val="1F2937"/>
          <w:sz w:val="21"/>
          <w:szCs w:val="21"/>
        </w:rPr>
        <w:t xml:space="preserve">Phase 5 — Score calculation &amp; SLA assignment.</w:t>
      </w:r>
      <w:r>
        <w:rPr>
          <w:rFonts w:ascii="Arial" w:cs="Arial" w:eastAsia="Arial" w:hAnsi="Arial"/>
          <w:b w:val="false"/>
          <w:bCs w:val="false"/>
          <w:color w:val="1F2937"/>
          <w:sz w:val="21"/>
          <w:szCs w:val="21"/>
        </w:rPr>
        <w:t xml:space="preserve"> A consolidated 0–100 exposure score is computed and classified into Low / Medium / High / Critical. A remediation due date is derived from priority and the detection date.</w:t>
      </w:r>
    </w:p>
    <w:p>
      <w:pPr>
        <w:spacing w:after="120" w:line="264"/>
        <w:jc w:val="both"/>
      </w:pPr>
      <w:r>
        <w:rPr>
          <w:rFonts w:ascii="Arial" w:cs="Arial" w:eastAsia="Arial" w:hAnsi="Arial"/>
          <w:b/>
          <w:bCs/>
          <w:color w:val="1F2937"/>
          <w:sz w:val="21"/>
          <w:szCs w:val="21"/>
        </w:rPr>
        <w:t xml:space="preserve">Phase 6 — Playbook generation.</w:t>
      </w:r>
      <w:r>
        <w:rPr>
          <w:rFonts w:ascii="Arial" w:cs="Arial" w:eastAsia="Arial" w:hAnsi="Arial"/>
          <w:b w:val="false"/>
          <w:bCs w:val="false"/>
          <w:color w:val="1F2937"/>
          <w:sz w:val="21"/>
          <w:szCs w:val="21"/>
        </w:rPr>
        <w:t xml:space="preserve"> Each exposure receives a primary remediation action, compensating controls, a change category, and validation steps — calibrated to its threat, exposure, and privacy profile.</w:t>
      </w:r>
    </w:p>
    <w:p>
      <w:pPr>
        <w:spacing w:after="120" w:line="264"/>
        <w:jc w:val="both"/>
      </w:pPr>
      <w:r>
        <w:rPr>
          <w:rFonts w:ascii="Arial" w:cs="Arial" w:eastAsia="Arial" w:hAnsi="Arial"/>
          <w:b/>
          <w:bCs/>
          <w:color w:val="1F2937"/>
          <w:sz w:val="21"/>
          <w:szCs w:val="21"/>
        </w:rPr>
        <w:t xml:space="preserve">Phase 7 — Export &amp; integrity verification.</w:t>
      </w:r>
      <w:r>
        <w:rPr>
          <w:rFonts w:ascii="Arial" w:cs="Arial" w:eastAsia="Arial" w:hAnsi="Arial"/>
          <w:b w:val="false"/>
          <w:bCs w:val="false"/>
          <w:color w:val="1F2937"/>
          <w:sz w:val="21"/>
          <w:szCs w:val="21"/>
        </w:rPr>
        <w:t xml:space="preserve"> Exports are sanitised against spreadsheet-injection risk and signed with a cryptographic signature. A built-in verifier can confirm whether any report has been altered.</w:t>
      </w:r>
    </w:p>
    <w:p>
      <w:pPr>
        <w:pStyle w:val="Heading2"/>
      </w:pPr>
      <w:r>
        <w:t xml:space="preserve">8. The Scoring Model</w:t>
      </w:r>
    </w:p>
    <w:p>
      <w:pPr>
        <w:spacing w:after="120" w:line="264"/>
        <w:jc w:val="both"/>
      </w:pPr>
      <w:r>
        <w:rPr>
          <w:rFonts w:ascii="Arial" w:cs="Arial" w:eastAsia="Arial" w:hAnsi="Arial"/>
          <w:b w:val="false"/>
          <w:bCs w:val="false"/>
          <w:color w:val="1F2937"/>
          <w:sz w:val="21"/>
          <w:szCs w:val="21"/>
        </w:rPr>
        <w:t xml:space="preserve">The headline number is a single, explainable 0–100 score — every point can be traced back to a contributing factor, so the result is defensible rather than a black box. Contributions are weighted as follows (weights are configurable via policy):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7074"/>
      </w:tblGrid>
      <w:tr>
        <w:trPr>
          <w:tblHeader/>
        </w:trPr>
        <w:tc>
          <w:tcPr>
            <w:tcW w:type="dxa" w:w="3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Dimension</w:t>
            </w:r>
          </w:p>
        </w:tc>
        <w:tc>
          <w:tcPr>
            <w:tcW w:type="dxa" w:w="1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Weight</w:t>
            </w:r>
          </w:p>
        </w:tc>
        <w:tc>
          <w:tcPr>
            <w:tcW w:type="dxa" w:w="70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What it captures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Threat intelligence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35</w:t>
            </w:r>
          </w:p>
        </w:tc>
        <w:tc>
          <w:tcPr>
            <w:tcW w:type="dxa" w:w="7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CISA KEV membership, EPSS percentile, CVSS severity</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Network exposure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20</w:t>
            </w:r>
          </w:p>
        </w:tc>
        <w:tc>
          <w:tcPr>
            <w:tcW w:type="dxa" w:w="7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Zone, risky open ports, firewall posture, VPN requirement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Business impact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15</w:t>
            </w:r>
          </w:p>
        </w:tc>
        <w:tc>
          <w:tcPr>
            <w:tcW w:type="dxa" w:w="7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criticality, production environment, data sensitivity</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IDS/IPS correlation</w:t>
            </w:r>
          </w:p>
        </w:tc>
        <w:tc>
          <w:tcPr>
            <w:tcW w:type="dxa" w:w="1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15</w:t>
            </w:r>
          </w:p>
        </w:tc>
        <w:tc>
          <w:tcPr>
            <w:tcW w:type="dxa" w:w="7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Alert volume/severity, exploit attempts, high-confidence signals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Privacy impact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w:t>
            </w:r>
          </w:p>
        </w:tc>
        <w:tc>
          <w:tcPr>
            <w:tcW w:type="dxa" w:w="7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PII, data sensitivity, encryption status, regulatory impact</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SLA governance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5</w:t>
            </w:r>
          </w:p>
        </w:tc>
        <w:tc>
          <w:tcPr>
            <w:tcW w:type="dxa" w:w="7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Contribution from breached remediation timelines</w:t>
            </w:r>
          </w:p>
        </w:tc>
      </w:tr>
    </w:tbl>
    <w:p>
      <w:pPr>
        <w:spacing w:after="120" w:line="264"/>
        <w:jc w:val="both"/>
      </w:pPr>
      <w:r>
        <w:rPr>
          <w:rFonts w:ascii="Arial" w:cs="Arial" w:eastAsia="Arial" w:hAnsi="Arial"/>
          <w:b w:val="false"/>
          <w:bCs w:val="false"/>
          <w:color w:val="1F2937"/>
          <w:sz w:val="21"/>
          <w:szCs w:val="21"/>
        </w:rPr>
        <w:t xml:space="preserve">The total score maps to a priority and a remediation SLA:</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5074"/>
      </w:tblGrid>
      <w:tr>
        <w:trPr>
          <w:tblHeader/>
        </w:trPr>
        <w:tc>
          <w:tcPr>
            <w:tcW w:type="dxa" w:w="3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Priority</w:t>
            </w:r>
          </w:p>
        </w:tc>
        <w:tc>
          <w:tcPr>
            <w:tcW w:type="dxa" w:w="3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Score threshold</w:t>
            </w:r>
          </w:p>
        </w:tc>
        <w:tc>
          <w:tcPr>
            <w:tcW w:type="dxa" w:w="50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Remediation SLA (from detection)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 85</w:t>
            </w:r>
          </w:p>
        </w:tc>
        <w:tc>
          <w:tcPr>
            <w:tcW w:type="dxa" w:w="5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7 days</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High</w:t>
            </w:r>
          </w:p>
        </w:tc>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 70</w:t>
            </w:r>
          </w:p>
        </w:tc>
        <w:tc>
          <w:tcPr>
            <w:tcW w:type="dxa" w:w="5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15 days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 45</w:t>
            </w:r>
          </w:p>
        </w:tc>
        <w:tc>
          <w:tcPr>
            <w:tcW w:type="dxa" w:w="5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30 days</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Low</w:t>
            </w:r>
          </w:p>
        </w:tc>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below 45</w:t>
            </w:r>
          </w:p>
        </w:tc>
        <w:tc>
          <w:tcPr>
            <w:tcW w:type="dxa" w:w="5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90 days</w:t>
            </w:r>
          </w:p>
        </w:tc>
      </w:tr>
    </w:tbl>
    <w:p>
      <w:pPr>
        <w:spacing w:after="120" w:line="264"/>
        <w:jc w:val="both"/>
      </w:pPr>
      <w:r>
        <w:rPr>
          <w:rFonts w:ascii="Arial" w:cs="Arial" w:eastAsia="Arial" w:hAnsi="Arial"/>
          <w:b w:val="false"/>
          <w:bCs w:val="false"/>
          <w:color w:val="1F2937"/>
          <w:sz w:val="21"/>
          <w:szCs w:val="21"/>
        </w:rPr>
        <w:t xml:space="preserve">This design deliberately ensures that a moderately severe but actively exploited, internet-facing, customer-data asset can outrank a severe but internal, unexploited one — which is exactly the prioritisation CVSS-only programmes miss.</w:t>
      </w:r>
    </w:p>
    <w:p>
      <w:pPr>
        <w:pStyle w:val="Heading2"/>
      </w:pPr>
      <w:r>
        <w:t xml:space="preserve">9. The Dashboard &amp; Views</w:t>
      </w:r>
    </w:p>
    <w:p>
      <w:pPr>
        <w:spacing w:after="120" w:line="264"/>
        <w:jc w:val="both"/>
      </w:pPr>
      <w:r>
        <w:rPr>
          <w:rFonts w:ascii="Arial" w:cs="Arial" w:eastAsia="Arial" w:hAnsi="Arial"/>
          <w:b w:val="false"/>
          <w:bCs w:val="false"/>
          <w:color w:val="1F2937"/>
          <w:sz w:val="21"/>
          <w:szCs w:val="21"/>
        </w:rPr>
        <w:t xml:space="preserve">The interface is organised as a header (project identity), a row of headline KPI cards, and nine focused tabs.</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200"/>
        <w:gridCol w:w="8474"/>
      </w:tblGrid>
      <w:tr>
        <w:trPr>
          <w:tblHeader/>
        </w:trPr>
        <w:tc>
          <w:tcPr>
            <w:tcW w:type="dxa" w:w="3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View</w:t>
            </w:r>
          </w:p>
        </w:tc>
        <w:tc>
          <w:tcPr>
            <w:tcW w:type="dxa" w:w="84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Executive View</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Leadership picture, anchored by an Executive Risk Matrix (severity × exploitation-likelihood grid; the top-right band is the “fix-first” zone). Supported by priority mix, KEV split, EPSS distribution, risk by environment, top business processes, and top riskiest assets.</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Analyst View</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prioritised work queue: every exposure with its score drivers, recommended action, and context, colour-coded by priority.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Network Exposure</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Risk by network zone and asset type, plus exposure detail per asset.</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IDS/IPS Correlation</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Correlated alert severity and the assets showing active exploit signals.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Privacy Impact</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Distribution of privacy impact and the sensitive-data detail behind it.</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Remediation Governance</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SLA status, owner-wise risk, control-area coverage, due dates, escalations, and exception state.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Simulation</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What-if scenarios (e.g. patch top assets, patch all KEV, isolate internet-facing critical assets) with predicted risk reduction.</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Reports &amp; Integrity</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Export of detailed / executive / ticket reports, each signed and verifiable.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Audit Log</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Attributed action history, risk-trend snapshots, and any data-quality notices from the last run.</w:t>
            </w:r>
          </w:p>
        </w:tc>
      </w:tr>
    </w:tbl>
    <w:p>
      <w:pPr>
        <w:spacing w:after="120" w:line="264"/>
        <w:jc w:val="both"/>
      </w:pPr>
      <w:r>
        <w:rPr>
          <w:rFonts w:ascii="Arial" w:cs="Arial" w:eastAsia="Arial" w:hAnsi="Arial"/>
          <w:b w:val="false"/>
          <w:bCs w:val="false"/>
          <w:color w:val="1F2937"/>
          <w:sz w:val="21"/>
          <w:szCs w:val="21"/>
        </w:rPr>
        <w:t xml:space="preserve">Supporting material (a concept guide and project information) is tucked into the sidebar so the working surface stays clean — visible only when needed.</w:t>
      </w:r>
    </w:p>
    <w:p>
      <w:pPr>
        <w:pStyle w:val="Heading2"/>
      </w:pPr>
      <w:r>
        <w:t xml:space="preserve">10. Inputs &amp; Data Model</w:t>
      </w:r>
    </w:p>
    <w:p>
      <w:pPr>
        <w:spacing w:after="120" w:line="264"/>
        <w:jc w:val="both"/>
      </w:pPr>
      <w:r>
        <w:rPr>
          <w:rFonts w:ascii="Arial" w:cs="Arial" w:eastAsia="Arial" w:hAnsi="Arial"/>
          <w:b w:val="false"/>
          <w:bCs w:val="false"/>
          <w:color w:val="1F2937"/>
          <w:sz w:val="21"/>
          <w:szCs w:val="21"/>
        </w:rPr>
        <w:t xml:space="preserve">The platform’s value comes from </w:t>
      </w:r>
      <w:r>
        <w:rPr>
          <w:rFonts w:ascii="Arial" w:cs="Arial" w:eastAsia="Arial" w:hAnsi="Arial"/>
          <w:b/>
          <w:bCs/>
          <w:color w:val="1F2937"/>
          <w:sz w:val="21"/>
          <w:szCs w:val="21"/>
        </w:rPr>
        <w:t xml:space="preserve">correlation</w:t>
      </w:r>
      <w:r>
        <w:rPr>
          <w:rFonts w:ascii="Arial" w:cs="Arial" w:eastAsia="Arial" w:hAnsi="Arial"/>
          <w:b w:val="false"/>
          <w:bCs w:val="false"/>
          <w:color w:val="1F2937"/>
          <w:sz w:val="21"/>
          <w:szCs w:val="21"/>
        </w:rPr>
        <w:t xml:space="preserve">, so it ingests four independent sources — mirroring how organisations actually store this data (CMDB, scanner, SIEM, GRC tool). Each can be supplied as CSV or Excel and swapped independently.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5874"/>
      </w:tblGrid>
      <w:tr>
        <w:trPr>
          <w:tblHeader/>
        </w:trPr>
        <w:tc>
          <w:tcPr>
            <w:tcW w:type="dxa" w:w="3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File</w:t>
            </w:r>
          </w:p>
        </w:tc>
        <w:tc>
          <w:tcPr>
            <w:tcW w:type="dxa" w:w="2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Represents</w:t>
            </w:r>
          </w:p>
        </w:tc>
        <w:tc>
          <w:tcPr>
            <w:tcW w:type="dxa" w:w="5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Key fields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Vulnerability findings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“what’s wrong”</w:t>
            </w:r>
          </w:p>
        </w:tc>
        <w:tc>
          <w:tcPr>
            <w:tcW w:type="dxa" w:w="5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id, asset name, product, CVE, business criticality, internet-facing, environment, owner, first-detected date</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inventory</w:t>
            </w:r>
          </w:p>
        </w:tc>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“how much it matters”</w:t>
            </w:r>
          </w:p>
        </w:tc>
        <w:tc>
          <w:tcPr>
            <w:tcW w:type="dxa" w:w="5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application, business process, owner, network zone, open ports, firewall, VPN required, asset type, data type, PII, sensitivity, encryption, regulatory impact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IDS/IPS alerts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“is it being attacked”</w:t>
            </w:r>
          </w:p>
        </w:tc>
        <w:tc>
          <w:tcPr>
            <w:tcW w:type="dxa" w:w="5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alert id, asset id, alert type, severity, source/destination IP, timestamp, signature, confidence</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Risk exceptions</w:t>
            </w:r>
          </w:p>
        </w:tc>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“already signed off”</w:t>
            </w:r>
          </w:p>
        </w:tc>
        <w:tc>
          <w:tcPr>
            <w:tcW w:type="dxa" w:w="5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id, CVE, exception status, acceptance reason, accepted-by, expiry, compensating control</w:t>
            </w:r>
          </w:p>
        </w:tc>
      </w:tr>
    </w:tbl>
    <w:p>
      <w:pPr>
        <w:spacing w:after="120" w:line="264"/>
        <w:jc w:val="both"/>
      </w:pPr>
      <w:r>
        <w:rPr>
          <w:rFonts w:ascii="Arial" w:cs="Arial" w:eastAsia="Arial" w:hAnsi="Arial"/>
          <w:b/>
          <w:bCs/>
          <w:color w:val="1F2937"/>
          <w:sz w:val="21"/>
          <w:szCs w:val="21"/>
        </w:rPr>
        <w:t xml:space="preserve">Why four files?</w:t>
      </w:r>
      <w:r>
        <w:rPr>
          <w:rFonts w:ascii="Arial" w:cs="Arial" w:eastAsia="Arial" w:hAnsi="Arial"/>
          <w:b w:val="false"/>
          <w:bCs w:val="false"/>
          <w:color w:val="1F2937"/>
          <w:sz w:val="21"/>
          <w:szCs w:val="21"/>
        </w:rPr>
        <w:t xml:space="preserve"> A scanner alone gives only the first. The whole point of the product is that the first file is nearly useless for prioritisation without the other three. These four sources are exactly the four systems an enterprise already runs (scanner, CMDB, SIEM/IDS, GRC). Today they arrive as files; Part B explains how each can instead stream in live, with no change to the scoring engine.</w:t>
      </w:r>
    </w:p>
    <w:p>
      <w:pPr>
        <w:spacing w:after="120" w:line="264"/>
        <w:jc w:val="both"/>
      </w:pPr>
      <w:r>
        <w:rPr>
          <w:rFonts w:ascii="Arial" w:cs="Arial" w:eastAsia="Arial" w:hAnsi="Arial"/>
          <w:b/>
          <w:bCs/>
          <w:color w:val="1F2937"/>
          <w:sz w:val="21"/>
          <w:szCs w:val="21"/>
        </w:rPr>
        <w:t xml:space="preserve">Supported formats:</w:t>
      </w:r>
      <w:r>
        <w:rPr>
          <w:rFonts w:ascii="Arial" w:cs="Arial" w:eastAsia="Arial" w:hAnsi="Arial"/>
          <w:b w:val="false"/>
          <w:bCs w:val="false"/>
          <w:color w:val="1F2937"/>
          <w:sz w:val="21"/>
          <w:szCs w:val="21"/>
        </w:rPr>
        <w:t xml:space="preserve"> CSV, modern Excel (.xlsx), and legacy Excel (.xls). When live feeds are turned off, bundled offline threat-intelligence is used, so assessments are fully deterministic — ideal for demonstrations.</w:t>
      </w:r>
    </w:p>
    <w:p>
      <w:pPr>
        <w:pStyle w:val="Heading2"/>
      </w:pPr>
      <w:r>
        <w:t xml:space="preserve">11. Security, Integrity &amp; Governance</w:t>
      </w:r>
    </w:p>
    <w:p>
      <w:pPr>
        <w:spacing w:after="120" w:line="264"/>
        <w:jc w:val="both"/>
      </w:pPr>
      <w:r>
        <w:rPr>
          <w:rFonts w:ascii="Arial" w:cs="Arial" w:eastAsia="Arial" w:hAnsi="Arial"/>
          <w:b w:val="false"/>
          <w:bCs w:val="false"/>
          <w:color w:val="1F2937"/>
          <w:sz w:val="21"/>
          <w:szCs w:val="21"/>
        </w:rPr>
        <w:t xml:space="preserve">Because this is a security tool, it holds itself to a higher standard than a typical dashboard:</w:t>
      </w:r>
    </w:p>
    <w:p>
      <w:pPr>
        <w:pStyle w:val="ListParagraph"/>
        <w:numPr>
          <w:ilvl w:val="0"/>
          <w:numId w:val="2"/>
        </w:numPr>
        <w:spacing w:after="60" w:line="260"/>
        <w:jc w:val="both"/>
      </w:pPr>
      <w:r>
        <w:rPr>
          <w:rFonts w:ascii="Arial" w:cs="Arial" w:eastAsia="Arial" w:hAnsi="Arial"/>
          <w:b/>
          <w:bCs/>
          <w:color w:val="1F2937"/>
          <w:sz w:val="21"/>
          <w:szCs w:val="21"/>
        </w:rPr>
        <w:t xml:space="preserve">Tamper-evident reports (HMAC-SHA256).</w:t>
      </w:r>
      <w:r>
        <w:rPr>
          <w:rFonts w:ascii="Arial" w:cs="Arial" w:eastAsia="Arial" w:hAnsi="Arial"/>
          <w:b w:val="false"/>
          <w:bCs w:val="false"/>
          <w:color w:val="1F2937"/>
          <w:sz w:val="21"/>
          <w:szCs w:val="21"/>
        </w:rPr>
        <w:t xml:space="preserve"> Exports are signed with a secret key, so an altered report cannot be re-signed by anyone who lacks the key — stronger than a plain checksum. The key is supplied via environment variable in production, or generated and stored locally otherwise.</w:t>
      </w:r>
    </w:p>
    <w:p>
      <w:pPr>
        <w:pStyle w:val="ListParagraph"/>
        <w:numPr>
          <w:ilvl w:val="0"/>
          <w:numId w:val="2"/>
        </w:numPr>
        <w:spacing w:after="60" w:line="260"/>
        <w:jc w:val="both"/>
      </w:pPr>
      <w:r>
        <w:rPr>
          <w:rFonts w:ascii="Arial" w:cs="Arial" w:eastAsia="Arial" w:hAnsi="Arial"/>
          <w:b/>
          <w:bCs/>
          <w:color w:val="1F2937"/>
          <w:sz w:val="21"/>
          <w:szCs w:val="21"/>
        </w:rPr>
        <w:t xml:space="preserve">Injection-safe exports.</w:t>
      </w:r>
      <w:r>
        <w:rPr>
          <w:rFonts w:ascii="Arial" w:cs="Arial" w:eastAsia="Arial" w:hAnsi="Arial"/>
          <w:b w:val="false"/>
          <w:bCs w:val="false"/>
          <w:color w:val="1F2937"/>
          <w:sz w:val="21"/>
          <w:szCs w:val="21"/>
        </w:rPr>
        <w:t xml:space="preserve"> Exported spreadsheets are sanitised so a malicious cell cannot execute as a formula when opened in Excel, Sheets, or LibreOffice.</w:t>
      </w:r>
    </w:p>
    <w:p>
      <w:pPr>
        <w:pStyle w:val="ListParagraph"/>
        <w:numPr>
          <w:ilvl w:val="0"/>
          <w:numId w:val="2"/>
        </w:numPr>
        <w:spacing w:after="60" w:line="260"/>
        <w:jc w:val="both"/>
      </w:pPr>
      <w:r>
        <w:rPr>
          <w:rFonts w:ascii="Arial" w:cs="Arial" w:eastAsia="Arial" w:hAnsi="Arial"/>
          <w:b/>
          <w:bCs/>
          <w:color w:val="1F2937"/>
          <w:sz w:val="21"/>
          <w:szCs w:val="21"/>
        </w:rPr>
        <w:t xml:space="preserve">Attributed audit log.</w:t>
      </w:r>
      <w:r>
        <w:rPr>
          <w:rFonts w:ascii="Arial" w:cs="Arial" w:eastAsia="Arial" w:hAnsi="Arial"/>
          <w:b w:val="false"/>
          <w:bCs w:val="false"/>
          <w:color w:val="1F2937"/>
          <w:sz w:val="21"/>
          <w:szCs w:val="21"/>
        </w:rPr>
        <w:t xml:space="preserve"> Every action records the operator and a timestamp, answering who did what, not merely that something happened.</w:t>
      </w:r>
    </w:p>
    <w:p>
      <w:pPr>
        <w:pStyle w:val="ListParagraph"/>
        <w:numPr>
          <w:ilvl w:val="0"/>
          <w:numId w:val="2"/>
        </w:numPr>
        <w:spacing w:after="60" w:line="260"/>
        <w:jc w:val="both"/>
      </w:pPr>
      <w:r>
        <w:rPr>
          <w:rFonts w:ascii="Arial" w:cs="Arial" w:eastAsia="Arial" w:hAnsi="Arial"/>
          <w:b/>
          <w:bCs/>
          <w:color w:val="1F2937"/>
          <w:sz w:val="21"/>
          <w:szCs w:val="21"/>
        </w:rPr>
        <w:t xml:space="preserve">Integrity verifier.</w:t>
      </w:r>
      <w:r>
        <w:rPr>
          <w:rFonts w:ascii="Arial" w:cs="Arial" w:eastAsia="Arial" w:hAnsi="Arial"/>
          <w:b w:val="false"/>
          <w:bCs w:val="false"/>
          <w:color w:val="1F2937"/>
          <w:sz w:val="21"/>
          <w:szCs w:val="21"/>
        </w:rPr>
        <w:t xml:space="preserve"> A built-in tool lets a reviewer upload any exported report and confirm whether its contents match the original signature.</w:t>
      </w:r>
    </w:p>
    <w:p>
      <w:pPr>
        <w:pStyle w:val="ListParagraph"/>
        <w:numPr>
          <w:ilvl w:val="0"/>
          <w:numId w:val="2"/>
        </w:numPr>
        <w:spacing w:after="60" w:line="260"/>
        <w:jc w:val="both"/>
      </w:pPr>
      <w:r>
        <w:rPr>
          <w:rFonts w:ascii="Arial" w:cs="Arial" w:eastAsia="Arial" w:hAnsi="Arial"/>
          <w:b/>
          <w:bCs/>
          <w:color w:val="1F2937"/>
          <w:sz w:val="21"/>
          <w:szCs w:val="21"/>
        </w:rPr>
        <w:t xml:space="preserve">Configurable governance.</w:t>
      </w:r>
      <w:r>
        <w:rPr>
          <w:rFonts w:ascii="Arial" w:cs="Arial" w:eastAsia="Arial" w:hAnsi="Arial"/>
          <w:b w:val="false"/>
          <w:bCs w:val="false"/>
          <w:color w:val="1F2937"/>
          <w:sz w:val="21"/>
          <w:szCs w:val="21"/>
        </w:rPr>
        <w:t xml:space="preserve"> SLAs, escalation, and risk-acceptance (with expiry and compensating controls) are first-class, so remediation timelines are tracked and auditable.</w:t>
      </w:r>
    </w:p>
    <w:p>
      <w:pPr>
        <w:pStyle w:val="Heading2"/>
      </w:pPr>
      <w:r>
        <w:t xml:space="preserve">12. Bundled Datasets</w:t>
      </w:r>
    </w:p>
    <w:p>
      <w:pPr>
        <w:spacing w:after="120" w:line="264"/>
        <w:jc w:val="both"/>
      </w:pPr>
      <w:r>
        <w:rPr>
          <w:rFonts w:ascii="Arial" w:cs="Arial" w:eastAsia="Arial" w:hAnsi="Arial"/>
          <w:b w:val="false"/>
          <w:bCs w:val="false"/>
          <w:color w:val="1F2937"/>
          <w:sz w:val="21"/>
          <w:szCs w:val="21"/>
        </w:rPr>
        <w:t xml:space="preserve">To make the platform demonstrable out of the box, it ships with realistic, fully offline data:</w:t>
      </w:r>
    </w:p>
    <w:p>
      <w:pPr>
        <w:pStyle w:val="ListParagraph"/>
        <w:numPr>
          <w:ilvl w:val="0"/>
          <w:numId w:val="2"/>
        </w:numPr>
        <w:spacing w:after="60" w:line="260"/>
        <w:jc w:val="both"/>
      </w:pPr>
      <w:r>
        <w:rPr>
          <w:rFonts w:ascii="Arial" w:cs="Arial" w:eastAsia="Arial" w:hAnsi="Arial"/>
          <w:b/>
          <w:bCs/>
          <w:color w:val="1F2937"/>
          <w:sz w:val="21"/>
          <w:szCs w:val="21"/>
        </w:rPr>
        <w:t xml:space="preserve">Primary dataset</w:t>
      </w:r>
      <w:r>
        <w:rPr>
          <w:rFonts w:ascii="Arial" w:cs="Arial" w:eastAsia="Arial" w:hAnsi="Arial"/>
          <w:b w:val="false"/>
          <w:bCs w:val="false"/>
          <w:color w:val="1F2937"/>
          <w:sz w:val="21"/>
          <w:szCs w:val="21"/>
        </w:rPr>
        <w:t xml:space="preserve"> — roughly 300 exposures across several hundred assets, engineered to exercise every scoring path: all priority bands, all KEV/EPSS/CVSS combinations, all network zones, IDS exploit and multi-alert cases, every privacy level, SLA breached/due-soon/within states, and valid/expired/no-expiry exceptions. A few rows intentionally trigger non-blocking data-quality notices.</w:t>
      </w:r>
    </w:p>
    <w:p>
      <w:pPr>
        <w:pStyle w:val="ListParagraph"/>
        <w:numPr>
          <w:ilvl w:val="0"/>
          <w:numId w:val="2"/>
        </w:numPr>
        <w:spacing w:after="60" w:line="260"/>
        <w:jc w:val="both"/>
      </w:pPr>
      <w:r>
        <w:rPr>
          <w:rFonts w:ascii="Arial" w:cs="Arial" w:eastAsia="Arial" w:hAnsi="Arial"/>
          <w:b/>
          <w:bCs/>
          <w:color w:val="1F2937"/>
          <w:sz w:val="21"/>
          <w:szCs w:val="21"/>
        </w:rPr>
        <w:t xml:space="preserve">Small demo set</w:t>
      </w:r>
      <w:r>
        <w:rPr>
          <w:rFonts w:ascii="Arial" w:cs="Arial" w:eastAsia="Arial" w:hAnsi="Arial"/>
          <w:b w:val="false"/>
          <w:bCs w:val="false"/>
          <w:color w:val="1F2937"/>
          <w:sz w:val="21"/>
          <w:szCs w:val="21"/>
        </w:rPr>
        <w:t xml:space="preserve"> — a compact set for quick walkthroughs, including an Excel copy to demonstrate file upload.</w:t>
      </w:r>
    </w:p>
    <w:p>
      <w:pPr>
        <w:pStyle w:val="ListParagraph"/>
        <w:numPr>
          <w:ilvl w:val="0"/>
          <w:numId w:val="2"/>
        </w:numPr>
        <w:spacing w:after="60" w:line="260"/>
        <w:jc w:val="both"/>
      </w:pPr>
      <w:r>
        <w:rPr>
          <w:rFonts w:ascii="Arial" w:cs="Arial" w:eastAsia="Arial" w:hAnsi="Arial"/>
          <w:b/>
          <w:bCs/>
          <w:color w:val="1F2937"/>
          <w:sz w:val="21"/>
          <w:szCs w:val="21"/>
        </w:rPr>
        <w:t xml:space="preserve">Additional mock organisations</w:t>
      </w:r>
      <w:r>
        <w:rPr>
          <w:rFonts w:ascii="Arial" w:cs="Arial" w:eastAsia="Arial" w:hAnsi="Arial"/>
          <w:b w:val="false"/>
          <w:bCs w:val="false"/>
          <w:color w:val="1F2937"/>
          <w:sz w:val="21"/>
          <w:szCs w:val="21"/>
        </w:rPr>
        <w:t xml:space="preserve"> — three independent fictional companies (retail, healthcare, finance), each with all four input files, so the tool can be demonstrated on non-default data.</w:t>
      </w:r>
    </w:p>
    <w:p>
      <w:pPr>
        <w:pStyle w:val="ListParagraph"/>
        <w:numPr>
          <w:ilvl w:val="0"/>
          <w:numId w:val="2"/>
        </w:numPr>
        <w:spacing w:after="60" w:line="260"/>
        <w:jc w:val="both"/>
      </w:pPr>
      <w:r>
        <w:rPr>
          <w:rFonts w:ascii="Arial" w:cs="Arial" w:eastAsia="Arial" w:hAnsi="Arial"/>
          <w:b/>
          <w:bCs/>
          <w:color w:val="1F2937"/>
          <w:sz w:val="21"/>
          <w:szCs w:val="21"/>
        </w:rPr>
        <w:t xml:space="preserve">Offline threat-intelligence</w:t>
      </w:r>
      <w:r>
        <w:rPr>
          <w:rFonts w:ascii="Arial" w:cs="Arial" w:eastAsia="Arial" w:hAnsi="Arial"/>
          <w:b w:val="false"/>
          <w:bCs w:val="false"/>
          <w:color w:val="1F2937"/>
          <w:sz w:val="21"/>
          <w:szCs w:val="21"/>
        </w:rPr>
        <w:t xml:space="preserve"> — bundled KEV/EPSS/CVSS reference data covering every CVE in the samples, so results are identical run-to-run without internet access.</w:t>
      </w:r>
    </w:p>
    <w:p>
      <w:pPr>
        <w:pStyle w:val="Heading2"/>
      </w:pPr>
      <w:r>
        <w:t xml:space="preserve">13. Technology Stack</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74"/>
      </w:tblGrid>
      <w:tr>
        <w:trPr>
          <w:tblHeader/>
        </w:trPr>
        <w:tc>
          <w:tcPr>
            <w:tcW w:type="dxa" w:w="2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Technology</w:t>
            </w:r>
          </w:p>
        </w:tc>
        <w:tc>
          <w:tcPr>
            <w:tcW w:type="dxa" w:w="60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Role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User interface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Streamlit</w:t>
            </w:r>
          </w:p>
        </w:tc>
        <w:tc>
          <w:tcPr>
            <w:tcW w:type="dxa" w:w="6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Browser-based dashboard and interaction</w:t>
            </w:r>
          </w:p>
        </w:tc>
      </w:tr>
      <w:tr>
        <w:trPr>
          <w:tblHeader w:val="false"/>
        </w:trPr>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Processing engine</w:t>
            </w:r>
          </w:p>
        </w:tc>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pandas</w:t>
            </w:r>
          </w:p>
        </w:tc>
        <w:tc>
          <w:tcPr>
            <w:tcW w:type="dxa" w:w="6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 validation, enrichment, scoring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Visualisation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Plotly</w:t>
            </w:r>
          </w:p>
        </w:tc>
        <w:tc>
          <w:tcPr>
            <w:tcW w:type="dxa" w:w="6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Interactive charts and the risk matrix</w:t>
            </w:r>
          </w:p>
        </w:tc>
      </w:tr>
      <w:tr>
        <w:trPr>
          <w:tblHeader w:val="false"/>
        </w:trPr>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Threat-intel access</w:t>
            </w:r>
          </w:p>
        </w:tc>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requests</w:t>
            </w:r>
          </w:p>
        </w:tc>
        <w:tc>
          <w:tcPr>
            <w:tcW w:type="dxa" w:w="6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Optional live KEV / EPSS / NVD lookups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Spreadsheet support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openpyxl, xlrd</w:t>
            </w:r>
          </w:p>
        </w:tc>
        <w:tc>
          <w:tcPr>
            <w:tcW w:type="dxa" w:w="6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Reading modern and legacy Excel files</w:t>
            </w:r>
          </w:p>
        </w:tc>
      </w:tr>
      <w:tr>
        <w:trPr>
          <w:tblHeader w:val="false"/>
        </w:trPr>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Integrity</w:t>
            </w:r>
          </w:p>
        </w:tc>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HMAC-SHA256 (standard library)</w:t>
            </w:r>
          </w:p>
        </w:tc>
        <w:tc>
          <w:tcPr>
            <w:tcW w:type="dxa" w:w="6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Tamper-evident report signing</w:t>
            </w:r>
          </w:p>
        </w:tc>
      </w:tr>
    </w:tbl>
    <w:p>
      <w:pPr>
        <w:spacing w:after="120" w:line="264"/>
        <w:jc w:val="both"/>
      </w:pPr>
      <w:r>
        <w:rPr>
          <w:rFonts w:ascii="Arial" w:cs="Arial" w:eastAsia="Arial" w:hAnsi="Arial"/>
          <w:b w:val="false"/>
          <w:bCs w:val="false"/>
          <w:color w:val="1F2937"/>
          <w:sz w:val="21"/>
          <w:szCs w:val="21"/>
        </w:rPr>
        <w:t xml:space="preserve">The codebase is organised modularly — a set of focused processing engines and external-data services — which keeps each scoring dimension independent. This modular “services” layer is the key to integration: each external feed is just another service the engine can call.</w:t>
      </w:r>
    </w:p>
    <w:p>
      <w:pPr>
        <w:pStyle w:val="Heading2"/>
      </w:pPr>
      <w:r>
        <w:t xml:space="preserve">14. Running the Application Locally</w:t>
      </w:r>
    </w:p>
    <w:p>
      <w:pPr>
        <w:spacing w:after="120" w:line="264"/>
        <w:jc w:val="both"/>
      </w:pPr>
      <w:r>
        <w:rPr>
          <w:rFonts w:ascii="Arial" w:cs="Arial" w:eastAsia="Arial" w:hAnsi="Arial"/>
          <w:b w:val="false"/>
          <w:bCs w:val="false"/>
          <w:color w:val="1F2937"/>
          <w:sz w:val="21"/>
          <w:szCs w:val="21"/>
        </w:rPr>
        <w:t xml:space="preserve">The application runs locally on Streamlit. From the project directory, create a virtual environment, install dependencies, and launch:</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11674"/>
      </w:tblGrid>
      <w:tr>
        <w:tc>
          <w:tcPr>
            <w:tcW w:type="dxa" w:w="11674"/>
            <w:tcBorders>
              <w:top w:val="single" w:color="D8DEE6" w:sz="1"/>
              <w:left w:val="single" w:color="01A982" w:sz="12"/>
              <w:bottom w:val="single" w:color="D8DEE6" w:sz="1"/>
              <w:right w:val="single" w:color="D8DEE6" w:sz="1"/>
            </w:tcBorders>
            <w:shd w:fill="F4F6F8" w:val="clear"/>
            <w:tcMar>
              <w:top w:type="dxa" w:w="80"/>
              <w:left w:type="dxa" w:w="160"/>
              <w:bottom w:type="dxa" w:w="80"/>
              <w:right w:type="dxa" w:w="120"/>
            </w:tcMar>
          </w:tcPr>
          <w:p>
            <w:pPr>
              <w:spacing w:after="0" w:line="240"/>
            </w:pPr>
            <w:r>
              <w:rPr>
                <w:rFonts w:ascii="Consolas" w:cs="Consolas" w:eastAsia="Consolas" w:hAnsi="Consolas"/>
                <w:color w:val="1F2937"/>
                <w:sz w:val="18"/>
                <w:szCs w:val="18"/>
              </w:rPr>
              <w:t xml:space="preserve">py -m venv .venv</w:t>
            </w:r>
          </w:p>
          <w:p>
            <w:pPr>
              <w:spacing w:after="0" w:line="240"/>
            </w:pPr>
            <w:r>
              <w:rPr>
                <w:rFonts w:ascii="Consolas" w:cs="Consolas" w:eastAsia="Consolas" w:hAnsi="Consolas"/>
                <w:color w:val="1F2937"/>
                <w:sz w:val="18"/>
                <w:szCs w:val="18"/>
              </w:rPr>
              <w:t xml:space="preserve">.\.venv\Scripts\activate</w:t>
            </w:r>
          </w:p>
          <w:p>
            <w:pPr>
              <w:spacing w:after="0" w:line="240"/>
            </w:pPr>
            <w:r>
              <w:rPr>
                <w:rFonts w:ascii="Consolas" w:cs="Consolas" w:eastAsia="Consolas" w:hAnsi="Consolas"/>
                <w:color w:val="1F2937"/>
                <w:sz w:val="18"/>
                <w:szCs w:val="18"/>
              </w:rPr>
              <w:t xml:space="preserve">pip install -r requirements.txt</w:t>
            </w:r>
          </w:p>
          <w:p>
            <w:pPr>
              <w:spacing w:after="0" w:line="240"/>
            </w:pPr>
            <w:r>
              <w:rPr>
                <w:rFonts w:ascii="Consolas" w:cs="Consolas" w:eastAsia="Consolas" w:hAnsi="Consolas"/>
                <w:color w:val="1F2937"/>
                <w:sz w:val="18"/>
                <w:szCs w:val="18"/>
              </w:rPr>
              <w:t xml:space="preserve">streamlit run app.py</w:t>
            </w:r>
          </w:p>
        </w:tc>
      </w:tr>
    </w:tbl>
    <w:p>
      <w:pPr>
        <w:spacing w:after="120" w:line="264"/>
        <w:jc w:val="both"/>
      </w:pPr>
      <w:r>
        <w:rPr>
          <w:rFonts w:ascii="Arial" w:cs="Arial" w:eastAsia="Arial" w:hAnsi="Arial"/>
          <w:b w:val="false"/>
          <w:bCs w:val="false"/>
          <w:color w:val="1F2937"/>
          <w:sz w:val="21"/>
          <w:szCs w:val="21"/>
        </w:rPr>
        <w:t xml:space="preserve">The interface opens automatically in the default browser at </w:t>
      </w:r>
      <w:hyperlink w:history="1" r:id="rId-fvokvmluwc36h28se3fe">
        <w:r>
          <w:rPr>
            <w:rStyle w:val="Hyperlink"/>
            <w:sz w:val="20"/>
            <w:szCs w:val="20"/>
          </w:rPr>
          <w:t xml:space="preserve">http://localhost:8501</w:t>
        </w:r>
      </w:hyperlink>
      <w:r>
        <w:rPr>
          <w:rFonts w:ascii="Arial" w:cs="Arial" w:eastAsia="Arial" w:hAnsi="Arial"/>
          <w:b w:val="false"/>
          <w:bCs w:val="false"/>
          <w:color w:val="1F2937"/>
          <w:sz w:val="21"/>
          <w:szCs w:val="21"/>
        </w:rPr>
        <w:t xml:space="preserve">.</w:t>
      </w:r>
    </w:p>
    <w:p>
      <w:pPr>
        <w:spacing w:after="120" w:line="264"/>
        <w:jc w:val="both"/>
      </w:pPr>
      <w:r>
        <w:rPr>
          <w:rFonts w:ascii="Arial" w:cs="Arial" w:eastAsia="Arial" w:hAnsi="Arial"/>
          <w:b/>
          <w:bCs/>
          <w:color w:val="1F2937"/>
          <w:sz w:val="21"/>
          <w:szCs w:val="21"/>
        </w:rPr>
        <w:t xml:space="preserve">Recommended for a stable demo:</w:t>
      </w:r>
      <w:r>
        <w:rPr>
          <w:rFonts w:ascii="Arial" w:cs="Arial" w:eastAsia="Arial" w:hAnsi="Arial"/>
          <w:b w:val="false"/>
          <w:bCs w:val="false"/>
          <w:color w:val="1F2937"/>
          <w:sz w:val="21"/>
          <w:szCs w:val="21"/>
        </w:rPr>
        <w:t xml:space="preserve"> keep “Use bundled sample files” enabled, keep live feeds off (offline data is included), enter an operator name, and click Run Cyber Exposure Assessment.</w:t>
      </w:r>
    </w:p>
    <w:p>
      <w:r>
        <w:br w:type="page"/>
      </w:r>
    </w:p>
    <w:p>
      <w:pPr>
        <w:pStyle w:val="Heading1"/>
      </w:pPr>
      <w:r>
        <w:t xml:space="preserve">Part B — Scaling Up: Integrations, Automation &amp; Deployment</w:t>
      </w:r>
    </w:p>
    <w:p>
      <w:pPr>
        <w:pStyle w:val="Heading2"/>
      </w:pPr>
      <w:r>
        <w:t xml:space="preserve">15. From Static Files to Live Data — Future Integrations</w:t>
      </w:r>
    </w:p>
    <w:p>
      <w:pPr>
        <w:spacing w:after="120" w:line="264"/>
        <w:jc w:val="both"/>
      </w:pPr>
      <w:r>
        <w:rPr>
          <w:rFonts w:ascii="Arial" w:cs="Arial" w:eastAsia="Arial" w:hAnsi="Arial"/>
          <w:b w:val="false"/>
          <w:bCs w:val="false"/>
          <w:color w:val="1F2937"/>
          <w:sz w:val="21"/>
          <w:szCs w:val="21"/>
        </w:rPr>
        <w:t xml:space="preserve">Today the platform is fed static files — a snapshot exported from a scanner, an inventory spreadsheet, an alert dump. This is perfect for demonstrations and offline use, but the same architecture is built to consume live, continuously updated data from the systems an organisation already runs.</w:t>
      </w:r>
    </w:p>
    <w:p>
      <w:pPr>
        <w:spacing w:after="120" w:line="264"/>
        <w:jc w:val="both"/>
      </w:pPr>
      <w:r>
        <w:rPr>
          <w:rFonts w:ascii="Arial" w:cs="Arial" w:eastAsia="Arial" w:hAnsi="Arial"/>
          <w:b w:val="false"/>
          <w:bCs w:val="false"/>
          <w:color w:val="1F2937"/>
          <w:sz w:val="21"/>
          <w:szCs w:val="21"/>
        </w:rPr>
        <w:t xml:space="preserve">The crucial point is architectural: CEGP separates </w:t>
      </w:r>
      <w:r>
        <w:rPr>
          <w:rFonts w:ascii="Arial" w:cs="Arial" w:eastAsia="Arial" w:hAnsi="Arial"/>
          <w:b/>
          <w:bCs/>
          <w:color w:val="1F2937"/>
          <w:sz w:val="21"/>
          <w:szCs w:val="21"/>
        </w:rPr>
        <w:t xml:space="preserve">where data comes from</w:t>
      </w:r>
      <w:r>
        <w:rPr>
          <w:rFonts w:ascii="Arial" w:cs="Arial" w:eastAsia="Arial" w:hAnsi="Arial"/>
          <w:b w:val="false"/>
          <w:bCs w:val="false"/>
          <w:color w:val="1F2937"/>
          <w:sz w:val="21"/>
          <w:szCs w:val="21"/>
        </w:rPr>
        <w:t xml:space="preserve"> (an ingestion/normalisation layer) from </w:t>
      </w:r>
      <w:r>
        <w:rPr>
          <w:rFonts w:ascii="Arial" w:cs="Arial" w:eastAsia="Arial" w:hAnsi="Arial"/>
          <w:b/>
          <w:bCs/>
          <w:color w:val="1F2937"/>
          <w:sz w:val="21"/>
          <w:szCs w:val="21"/>
        </w:rPr>
        <w:t xml:space="preserve">how data is scored</w:t>
      </w:r>
      <w:r>
        <w:rPr>
          <w:rFonts w:ascii="Arial" w:cs="Arial" w:eastAsia="Arial" w:hAnsi="Arial"/>
          <w:b w:val="false"/>
          <w:bCs w:val="false"/>
          <w:color w:val="1F2937"/>
          <w:sz w:val="21"/>
          <w:szCs w:val="21"/>
        </w:rPr>
        <w:t xml:space="preserve"> (the engine). The engine never cares whether a row arrived from a CSV or a live API. That means every file input can be replaced by a live connector without touching the scoring logic — the platform simply receives fresh data on a schedule or in real time, and re-scores automatically.</w:t>
      </w:r>
    </w:p>
    <w:p>
      <w:pPr>
        <w:spacing w:after="120" w:line="264"/>
        <w:jc w:val="both"/>
      </w:pPr>
      <w:r>
        <w:rPr>
          <w:rFonts w:ascii="Arial" w:cs="Arial" w:eastAsia="Arial" w:hAnsi="Arial"/>
          <w:b w:val="false"/>
          <w:bCs w:val="false"/>
          <w:color w:val="1F2937"/>
          <w:sz w:val="21"/>
          <w:szCs w:val="21"/>
        </w:rPr>
        <w:t xml:space="preserve">The integration categories below show the real systems in each, what they would feed, and why it matters.</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3574"/>
      </w:tblGrid>
      <w:tr>
        <w:trPr>
          <w:tblHeader/>
        </w:trPr>
        <w:tc>
          <w:tcPr>
            <w:tcW w:type="dxa" w:w="23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Category</w:t>
            </w:r>
          </w:p>
        </w:tc>
        <w:tc>
          <w:tcPr>
            <w:tcW w:type="dxa" w:w="3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Representative systems</w:t>
            </w:r>
          </w:p>
        </w:tc>
        <w:tc>
          <w:tcPr>
            <w:tcW w:type="dxa" w:w="2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Feeds</w:t>
            </w:r>
          </w:p>
        </w:tc>
        <w:tc>
          <w:tcPr>
            <w:tcW w:type="dxa" w:w="35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Value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Vulnerability scanners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Tenable, Qualys VMDR, Rapid7 InsightVM, Greenbone/OpenVAS, MS Defender VM, Wiz, Orca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Vulnerability findings</w:t>
            </w:r>
          </w:p>
        </w:tc>
        <w:tc>
          <w:tcPr>
            <w:tcW w:type="dxa" w:w="35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Findings refresh after every scan; new CVEs scored within minutes.</w:t>
            </w:r>
          </w:p>
        </w:tc>
      </w:tr>
      <w:tr>
        <w:trPr>
          <w:tblHeader w:val="false"/>
        </w:trPr>
        <w:tc>
          <w:tcPr>
            <w:tcW w:type="dxa" w:w="23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inventory / CMDB</w:t>
            </w:r>
          </w:p>
        </w:tc>
        <w:tc>
          <w:tcPr>
            <w:tcW w:type="dxa" w:w="3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ServiceNow CMDB, Device42, Lansweeper, Axonius, cloud inventories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 inventory &amp; context</w:t>
            </w:r>
          </w:p>
        </w:tc>
        <w:tc>
          <w:tcPr>
            <w:tcW w:type="dxa" w:w="35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Business context stays current as assets change.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SIEM / IDS-IPS / EDR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Splunk, Microsoft Sentinel, Elastic, Suricata/Snort/Zeek, CrowdStrike, SentinelOne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IDS/IPS alerts</w:t>
            </w:r>
          </w:p>
        </w:tc>
        <w:tc>
          <w:tcPr>
            <w:tcW w:type="dxa" w:w="35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Assets jump to top priority the moment they are actively targeted.</w:t>
            </w:r>
          </w:p>
        </w:tc>
      </w:tr>
      <w:tr>
        <w:trPr>
          <w:tblHeader w:val="false"/>
        </w:trPr>
        <w:tc>
          <w:tcPr>
            <w:tcW w:type="dxa" w:w="23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Threat-intelligence feeds</w:t>
            </w:r>
          </w:p>
        </w:tc>
        <w:tc>
          <w:tcPr>
            <w:tcW w:type="dxa" w:w="3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CISA KEV, FIRST EPSS, NVD, MISP, commercial TI, VirusTotal</w:t>
            </w:r>
          </w:p>
        </w:tc>
        <w:tc>
          <w:tcPr>
            <w:tcW w:type="dxa" w:w="2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Enrichment layer</w:t>
            </w:r>
          </w:p>
        </w:tc>
        <w:tc>
          <w:tcPr>
            <w:tcW w:type="dxa" w:w="35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Exploit context refreshed daily; overnight-weaponised CVEs re-prioritised.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ITSM / Ticketing / SOAR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ServiceNow, Jira, PagerDuty, Cortex XSOAR, Tines, Torq</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Outbound remediation tickets</w:t>
            </w:r>
          </w:p>
        </w:tc>
        <w:tc>
          <w:tcPr>
            <w:tcW w:type="dxa" w:w="35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Auto-open prioritised, playbook-filled tickets and track to closure.</w:t>
            </w:r>
          </w:p>
        </w:tc>
      </w:tr>
      <w:tr>
        <w:trPr>
          <w:tblHeader w:val="false"/>
        </w:trPr>
        <w:tc>
          <w:tcPr>
            <w:tcW w:type="dxa" w:w="23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Cloud posture (CSPM)</w:t>
            </w:r>
          </w:p>
        </w:tc>
        <w:tc>
          <w:tcPr>
            <w:tcW w:type="dxa" w:w="3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AWS Security Hub, MS Defender for Cloud, GCP SCC</w:t>
            </w:r>
          </w:p>
        </w:tc>
        <w:tc>
          <w:tcPr>
            <w:tcW w:type="dxa" w:w="2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Cloud findings &amp; context</w:t>
            </w:r>
          </w:p>
        </w:tc>
        <w:tc>
          <w:tcPr>
            <w:tcW w:type="dxa" w:w="35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Extends prioritisation to cloud misconfigurations.</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Identity &amp; directory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Entra ID / Active Directory, Okta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Ownership + authentication</w:t>
            </w:r>
          </w:p>
        </w:tc>
        <w:tc>
          <w:tcPr>
            <w:tcW w:type="dxa" w:w="35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Resolves asset owners; backs secure multi-user access.</w:t>
            </w:r>
          </w:p>
        </w:tc>
      </w:tr>
      <w:tr>
        <w:trPr>
          <w:tblHeader w:val="false"/>
        </w:trPr>
        <w:tc>
          <w:tcPr>
            <w:tcW w:type="dxa" w:w="23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 warehouse / BI</w:t>
            </w:r>
          </w:p>
        </w:tc>
        <w:tc>
          <w:tcPr>
            <w:tcW w:type="dxa" w:w="3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Snowflake, BigQuery, Databricks; Power BI, Tableau</w:t>
            </w:r>
          </w:p>
        </w:tc>
        <w:tc>
          <w:tcPr>
            <w:tcW w:type="dxa" w:w="2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Outbound history &amp; reporting</w:t>
            </w:r>
          </w:p>
        </w:tc>
        <w:tc>
          <w:tcPr>
            <w:tcW w:type="dxa" w:w="35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Long-term trends and board-level dashboards.</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Collaboration / notification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Slack, Microsoft Teams, email/SMTP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Outbound alerts</w:t>
            </w:r>
          </w:p>
        </w:tc>
        <w:tc>
          <w:tcPr>
            <w:tcW w:type="dxa" w:w="35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Instant alert on new criticals or imminent SLA breach.</w:t>
            </w:r>
          </w:p>
        </w:tc>
      </w:tr>
    </w:tbl>
    <w:p>
      <w:pPr>
        <w:pStyle w:val="Heading2"/>
      </w:pPr>
      <w:r>
        <w:t xml:space="preserve">16. Integration Mechanisms</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000"/>
        <w:gridCol w:w="4674"/>
        <w:gridCol w:w="4000"/>
      </w:tblGrid>
      <w:tr>
        <w:trPr>
          <w:tblHeader/>
        </w:trPr>
        <w:tc>
          <w:tcPr>
            <w:tcW w:type="dxa" w:w="3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Pattern</w:t>
            </w:r>
          </w:p>
        </w:tc>
        <w:tc>
          <w:tcPr>
            <w:tcW w:type="dxa" w:w="46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How it works</w:t>
            </w:r>
          </w:p>
        </w:tc>
        <w:tc>
          <w:tcPr>
            <w:tcW w:type="dxa" w:w="4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Best for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Scheduled API pull</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Calls each source’s REST API on a timer and re-runs the assessment.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Scanners, CMDB, threat-intel feeds.</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Event-driven webhook (push)</w:t>
            </w:r>
          </w:p>
        </w:tc>
        <w:tc>
          <w:tcPr>
            <w:tcW w:type="dxa" w:w="4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source notifies the platform the moment something changes.</w:t>
            </w:r>
          </w:p>
        </w:tc>
        <w:tc>
          <w:tcPr>
            <w:tcW w:type="dxa" w:w="4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SIEM/IDS, real-time escalation.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Streaming / message queue</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High-volume events flow through a broker (e.g. Kafka) and are consumed continuously.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Large estates with heavy alert volume.</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Database / warehouse sync</w:t>
            </w:r>
          </w:p>
        </w:tc>
        <w:tc>
          <w:tcPr>
            <w:tcW w:type="dxa" w:w="4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Reads from / writes to a shared datastore.</w:t>
            </w:r>
          </w:p>
        </w:tc>
        <w:tc>
          <w:tcPr>
            <w:tcW w:type="dxa" w:w="4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Persistence, BI, history.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Secure file drop (SFTP / bucket)</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Sources deposit exports to a watched location ingested automatically.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gentle step beyond manual upload.</w:t>
            </w:r>
          </w:p>
        </w:tc>
      </w:tr>
      <w:tr>
        <w:trPr>
          <w:tblHeader w:val="false"/>
        </w:trPr>
        <w:tc>
          <w:tcPr>
            <w:tcW w:type="dxa" w:w="3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Native / pre-built connector</w:t>
            </w:r>
          </w:p>
        </w:tc>
        <w:tc>
          <w:tcPr>
            <w:tcW w:type="dxa" w:w="4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 maintained connector for a specific product.</w:t>
            </w:r>
          </w:p>
        </w:tc>
        <w:tc>
          <w:tcPr>
            <w:tcW w:type="dxa" w:w="4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Tight, supported enterprise integrations.</w:t>
            </w:r>
          </w:p>
        </w:tc>
      </w:tr>
    </w:tbl>
    <w:p>
      <w:pPr>
        <w:spacing w:after="120" w:line="264"/>
        <w:jc w:val="both"/>
      </w:pPr>
      <w:r>
        <w:rPr>
          <w:rFonts w:ascii="Arial" w:cs="Arial" w:eastAsia="Arial" w:hAnsi="Arial"/>
          <w:b w:val="false"/>
          <w:bCs w:val="false"/>
          <w:color w:val="1F2937"/>
          <w:sz w:val="21"/>
          <w:szCs w:val="21"/>
        </w:rPr>
        <w:t xml:space="preserve">This layered approach means an organisation can start with the easiest pattern (a watched SFTP folder) and graduate to full real-time streaming over time, without re-architecting the platform.</w:t>
      </w:r>
    </w:p>
    <w:p>
      <w:pPr>
        <w:pStyle w:val="Heading2"/>
      </w:pPr>
      <w:r>
        <w:t xml:space="preserve">17. Automation Possibilities</w:t>
      </w:r>
    </w:p>
    <w:p>
      <w:pPr>
        <w:spacing w:after="120" w:line="264"/>
        <w:jc w:val="both"/>
      </w:pPr>
      <w:r>
        <w:rPr>
          <w:rFonts w:ascii="Arial" w:cs="Arial" w:eastAsia="Arial" w:hAnsi="Arial"/>
          <w:b w:val="false"/>
          <w:bCs w:val="false"/>
          <w:color w:val="1F2937"/>
          <w:sz w:val="21"/>
          <w:szCs w:val="21"/>
        </w:rPr>
        <w:t xml:space="preserve">Once data is live, the platform can move from “run on demand” to “always on”:</w:t>
      </w:r>
    </w:p>
    <w:p>
      <w:pPr>
        <w:pStyle w:val="ListParagraph"/>
        <w:numPr>
          <w:ilvl w:val="0"/>
          <w:numId w:val="2"/>
        </w:numPr>
        <w:spacing w:after="60" w:line="260"/>
        <w:jc w:val="both"/>
      </w:pPr>
      <w:r>
        <w:rPr>
          <w:rFonts w:ascii="Arial" w:cs="Arial" w:eastAsia="Arial" w:hAnsi="Arial"/>
          <w:b/>
          <w:bCs/>
          <w:color w:val="1F2937"/>
          <w:sz w:val="21"/>
          <w:szCs w:val="21"/>
        </w:rPr>
        <w:t xml:space="preserve">Scheduled assessments</w:t>
      </w:r>
      <w:r>
        <w:rPr>
          <w:rFonts w:ascii="Arial" w:cs="Arial" w:eastAsia="Arial" w:hAnsi="Arial"/>
          <w:b w:val="false"/>
          <w:bCs w:val="false"/>
          <w:color w:val="1F2937"/>
          <w:sz w:val="21"/>
          <w:szCs w:val="21"/>
        </w:rPr>
        <w:t xml:space="preserve"> — run automatically (e.g. hourly or after each scan) so the risk picture is never stale.</w:t>
      </w:r>
    </w:p>
    <w:p>
      <w:pPr>
        <w:pStyle w:val="ListParagraph"/>
        <w:numPr>
          <w:ilvl w:val="0"/>
          <w:numId w:val="2"/>
        </w:numPr>
        <w:spacing w:after="60" w:line="260"/>
        <w:jc w:val="both"/>
      </w:pPr>
      <w:r>
        <w:rPr>
          <w:rFonts w:ascii="Arial" w:cs="Arial" w:eastAsia="Arial" w:hAnsi="Arial"/>
          <w:b/>
          <w:bCs/>
          <w:color w:val="1F2937"/>
          <w:sz w:val="21"/>
          <w:szCs w:val="21"/>
        </w:rPr>
        <w:t xml:space="preserve">Event-triggered re-scoring</w:t>
      </w:r>
      <w:r>
        <w:rPr>
          <w:rFonts w:ascii="Arial" w:cs="Arial" w:eastAsia="Arial" w:hAnsi="Arial"/>
          <w:b w:val="false"/>
          <w:bCs w:val="false"/>
          <w:color w:val="1F2937"/>
          <w:sz w:val="21"/>
          <w:szCs w:val="21"/>
        </w:rPr>
        <w:t xml:space="preserve"> — a new IDS alert or a newly KEV-listed CVE instantly re-prioritises affected assets.</w:t>
      </w:r>
    </w:p>
    <w:p>
      <w:pPr>
        <w:pStyle w:val="ListParagraph"/>
        <w:numPr>
          <w:ilvl w:val="0"/>
          <w:numId w:val="2"/>
        </w:numPr>
        <w:spacing w:after="60" w:line="260"/>
        <w:jc w:val="both"/>
      </w:pPr>
      <w:r>
        <w:rPr>
          <w:rFonts w:ascii="Arial" w:cs="Arial" w:eastAsia="Arial" w:hAnsi="Arial"/>
          <w:b/>
          <w:bCs/>
          <w:color w:val="1F2937"/>
          <w:sz w:val="21"/>
          <w:szCs w:val="21"/>
        </w:rPr>
        <w:t xml:space="preserve">Automated ticketing</w:t>
      </w:r>
      <w:r>
        <w:rPr>
          <w:rFonts w:ascii="Arial" w:cs="Arial" w:eastAsia="Arial" w:hAnsi="Arial"/>
          <w:b w:val="false"/>
          <w:bCs w:val="false"/>
          <w:color w:val="1F2937"/>
          <w:sz w:val="21"/>
          <w:szCs w:val="21"/>
        </w:rPr>
        <w:t xml:space="preserve"> — every new Critical/High exposure becomes a remediation ticket with its playbook attached.</w:t>
      </w:r>
    </w:p>
    <w:p>
      <w:pPr>
        <w:pStyle w:val="ListParagraph"/>
        <w:numPr>
          <w:ilvl w:val="0"/>
          <w:numId w:val="2"/>
        </w:numPr>
        <w:spacing w:after="60" w:line="260"/>
        <w:jc w:val="both"/>
      </w:pPr>
      <w:r>
        <w:rPr>
          <w:rFonts w:ascii="Arial" w:cs="Arial" w:eastAsia="Arial" w:hAnsi="Arial"/>
          <w:b/>
          <w:bCs/>
          <w:color w:val="1F2937"/>
          <w:sz w:val="21"/>
          <w:szCs w:val="21"/>
        </w:rPr>
        <w:t xml:space="preserve">SLA-breach escalation</w:t>
      </w:r>
      <w:r>
        <w:rPr>
          <w:rFonts w:ascii="Arial" w:cs="Arial" w:eastAsia="Arial" w:hAnsi="Arial"/>
          <w:b w:val="false"/>
          <w:bCs w:val="false"/>
          <w:color w:val="1F2937"/>
          <w:sz w:val="21"/>
          <w:szCs w:val="21"/>
        </w:rPr>
        <w:t xml:space="preserve"> — overdue items automatically notify owners and managers and raise their score contribution.</w:t>
      </w:r>
    </w:p>
    <w:p>
      <w:pPr>
        <w:pStyle w:val="ListParagraph"/>
        <w:numPr>
          <w:ilvl w:val="0"/>
          <w:numId w:val="2"/>
        </w:numPr>
        <w:spacing w:after="60" w:line="260"/>
        <w:jc w:val="both"/>
      </w:pPr>
      <w:r>
        <w:rPr>
          <w:rFonts w:ascii="Arial" w:cs="Arial" w:eastAsia="Arial" w:hAnsi="Arial"/>
          <w:b/>
          <w:bCs/>
          <w:color w:val="1F2937"/>
          <w:sz w:val="21"/>
          <w:szCs w:val="21"/>
        </w:rPr>
        <w:t xml:space="preserve">Proactive alerting</w:t>
      </w:r>
      <w:r>
        <w:rPr>
          <w:rFonts w:ascii="Arial" w:cs="Arial" w:eastAsia="Arial" w:hAnsi="Arial"/>
          <w:b w:val="false"/>
          <w:bCs w:val="false"/>
          <w:color w:val="1F2937"/>
          <w:sz w:val="21"/>
          <w:szCs w:val="21"/>
        </w:rPr>
        <w:t xml:space="preserve"> — Slack/Teams/email notifications for new criticals, KEV additions, or active-exploit detections.</w:t>
      </w:r>
    </w:p>
    <w:p>
      <w:pPr>
        <w:pStyle w:val="ListParagraph"/>
        <w:numPr>
          <w:ilvl w:val="0"/>
          <w:numId w:val="2"/>
        </w:numPr>
        <w:spacing w:after="60" w:line="260"/>
        <w:jc w:val="both"/>
      </w:pPr>
      <w:r>
        <w:rPr>
          <w:rFonts w:ascii="Arial" w:cs="Arial" w:eastAsia="Arial" w:hAnsi="Arial"/>
          <w:b/>
          <w:bCs/>
          <w:color w:val="1F2937"/>
          <w:sz w:val="21"/>
          <w:szCs w:val="21"/>
        </w:rPr>
        <w:t xml:space="preserve">Policy-as-code</w:t>
      </w:r>
      <w:r>
        <w:rPr>
          <w:rFonts w:ascii="Arial" w:cs="Arial" w:eastAsia="Arial" w:hAnsi="Arial"/>
          <w:b w:val="false"/>
          <w:bCs w:val="false"/>
          <w:color w:val="1F2937"/>
          <w:sz w:val="21"/>
          <w:szCs w:val="21"/>
        </w:rPr>
        <w:t xml:space="preserve"> — scoring weights, thresholds, and SLAs version-controlled and promoted through environments.</w:t>
      </w:r>
    </w:p>
    <w:p>
      <w:pPr>
        <w:pStyle w:val="ListParagraph"/>
        <w:numPr>
          <w:ilvl w:val="0"/>
          <w:numId w:val="2"/>
        </w:numPr>
        <w:spacing w:after="60" w:line="260"/>
        <w:jc w:val="both"/>
      </w:pPr>
      <w:r>
        <w:rPr>
          <w:rFonts w:ascii="Arial" w:cs="Arial" w:eastAsia="Arial" w:hAnsi="Arial"/>
          <w:b/>
          <w:bCs/>
          <w:color w:val="1F2937"/>
          <w:sz w:val="21"/>
          <w:szCs w:val="21"/>
        </w:rPr>
        <w:t xml:space="preserve">Scheduled signed reporting</w:t>
      </w:r>
      <w:r>
        <w:rPr>
          <w:rFonts w:ascii="Arial" w:cs="Arial" w:eastAsia="Arial" w:hAnsi="Arial"/>
          <w:b w:val="false"/>
          <w:bCs w:val="false"/>
          <w:color w:val="1F2937"/>
          <w:sz w:val="21"/>
          <w:szCs w:val="21"/>
        </w:rPr>
        <w:t xml:space="preserve"> — nightly executive and audit reports generated, signed, and archived automatically.</w:t>
      </w:r>
    </w:p>
    <w:p>
      <w:pPr>
        <w:pStyle w:val="Heading2"/>
      </w:pPr>
      <w:r>
        <w:t xml:space="preserve">18. Deploying for Real-Time, Multi-User Access</w:t>
      </w:r>
    </w:p>
    <w:p>
      <w:pPr>
        <w:spacing w:after="120" w:line="264"/>
        <w:jc w:val="both"/>
      </w:pPr>
      <w:r>
        <w:rPr>
          <w:rFonts w:ascii="Arial" w:cs="Arial" w:eastAsia="Arial" w:hAnsi="Arial"/>
          <w:b w:val="false"/>
          <w:bCs w:val="false"/>
          <w:color w:val="1F2937"/>
          <w:sz w:val="21"/>
          <w:szCs w:val="21"/>
        </w:rPr>
        <w:t xml:space="preserve">To let a whole team (or auditors) reach the platform from anywhere, it moves from a local script to a hosted service. There is a natural progression:</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4674"/>
      </w:tblGrid>
      <w:tr>
        <w:trPr>
          <w:tblHeader/>
        </w:trPr>
        <w:tc>
          <w:tcPr>
            <w:tcW w:type="dxa" w:w="2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Stage</w:t>
            </w:r>
          </w:p>
        </w:tc>
        <w:tc>
          <w:tcPr>
            <w:tcW w:type="dxa" w:w="4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Deployment</w:t>
            </w:r>
          </w:p>
        </w:tc>
        <w:tc>
          <w:tcPr>
            <w:tcW w:type="dxa" w:w="46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 Local</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Runs on a single machine via streamlit run.</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Current model — ideal for development and demos.</w:t>
            </w:r>
          </w:p>
        </w:tc>
      </w:tr>
      <w:tr>
        <w:trPr>
          <w:tblHeader w:val="false"/>
        </w:trPr>
        <w:tc>
          <w:tcPr>
            <w:tcW w:type="dxa" w:w="2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2. Single server</w:t>
            </w:r>
          </w:p>
        </w:tc>
        <w:tc>
          <w:tcPr>
            <w:tcW w:type="dxa" w:w="4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Linux VM behind a reverse proxy (Nginx) with HTTPS/TLS.</w:t>
            </w:r>
          </w:p>
        </w:tc>
        <w:tc>
          <w:tcPr>
            <w:tcW w:type="dxa" w:w="4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First shared, always-on deployment for a small team.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3. Containerised</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Packaged as a Docker image.</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Removes “works on my machine” problems; easy to ship.</w:t>
            </w:r>
          </w:p>
        </w:tc>
      </w:tr>
      <w:tr>
        <w:trPr>
          <w:tblHeader w:val="false"/>
        </w:trPr>
        <w:tc>
          <w:tcPr>
            <w:tcW w:type="dxa" w:w="2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4. Orchestrated</w:t>
            </w:r>
          </w:p>
        </w:tc>
        <w:tc>
          <w:tcPr>
            <w:tcW w:type="dxa" w:w="4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Run on Kubernetes for scaling and high availability.</w:t>
            </w:r>
          </w:p>
        </w:tc>
        <w:tc>
          <w:tcPr>
            <w:tcW w:type="dxa" w:w="46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For larger, resilient production use.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5. Managed cloud</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Google Cloud Run / Azure App Service / AWS App Runner.</w:t>
            </w:r>
          </w:p>
        </w:tc>
        <w:tc>
          <w:tcPr>
            <w:tcW w:type="dxa" w:w="46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Lowest operational overhead; built-in TLS and scaling.</w:t>
            </w:r>
          </w:p>
        </w:tc>
      </w:tr>
    </w:tbl>
    <w:p>
      <w:pPr>
        <w:spacing w:after="120" w:line="264"/>
        <w:jc w:val="both"/>
      </w:pPr>
      <w:r>
        <w:rPr>
          <w:rFonts w:ascii="Arial" w:cs="Arial" w:eastAsia="Arial" w:hAnsi="Arial"/>
          <w:b/>
          <w:bCs/>
          <w:color w:val="1F2937"/>
          <w:sz w:val="21"/>
          <w:szCs w:val="21"/>
        </w:rPr>
        <w:t xml:space="preserve">Reference production architecture:</w:t>
      </w:r>
      <w:r>
        <w:rPr>
          <w:rFonts w:ascii="Arial" w:cs="Arial" w:eastAsia="Arial" w:hAnsi="Arial"/>
          <w:b w:val="false"/>
          <w:bCs w:val="false"/>
          <w:color w:val="1F2937"/>
          <w:sz w:val="21"/>
          <w:szCs w:val="21"/>
        </w:rPr>
        <w:t xml:space="preserve"> users reach the app over HTTPS through a reverse proxy or cloud load balancer; the proxy enforces authentication (next section) before any request reaches the app; the app reads/writes a managed database instead of local files; secrets live in a secrets manager; and the app pulls live data from the integrations above. A complete, step-by-step Google Cloud deployment (Cloud Run + Secret Manager + Identity-Aware Proxy) is provided in Appendix A and in-app via the “Future Scope — Implementation using GCP” button.</w:t>
      </w:r>
    </w:p>
    <w:p>
      <w:pPr>
        <w:pStyle w:val="Heading2"/>
      </w:pPr>
      <w:r>
        <w:t xml:space="preserve">19. Authentication &amp; Access Control</w:t>
      </w:r>
    </w:p>
    <w:p>
      <w:pPr>
        <w:spacing w:after="120" w:line="264"/>
        <w:jc w:val="both"/>
      </w:pPr>
      <w:r>
        <w:rPr>
          <w:rFonts w:ascii="Arial" w:cs="Arial" w:eastAsia="Arial" w:hAnsi="Arial"/>
          <w:b w:val="false"/>
          <w:bCs w:val="false"/>
          <w:color w:val="1F2937"/>
          <w:sz w:val="21"/>
          <w:szCs w:val="21"/>
        </w:rPr>
        <w:t xml:space="preserve">A security tool must not be openly reachable. In a hosted deployment, no one should reach the dashboard without authenticating, and different people should see different capabilities.</w:t>
      </w:r>
    </w:p>
    <w:p>
      <w:pPr>
        <w:pStyle w:val="Heading3"/>
      </w:pPr>
      <w:r>
        <w:t xml:space="preserve">19.1 Authentication (proving who you are)</w:t>
      </w:r>
    </w:p>
    <w:p>
      <w:pPr>
        <w:pStyle w:val="ListParagraph"/>
        <w:numPr>
          <w:ilvl w:val="0"/>
          <w:numId w:val="2"/>
        </w:numPr>
        <w:spacing w:after="60" w:line="260"/>
        <w:jc w:val="both"/>
      </w:pPr>
      <w:r>
        <w:rPr>
          <w:rFonts w:ascii="Arial" w:cs="Arial" w:eastAsia="Arial" w:hAnsi="Arial"/>
          <w:b/>
          <w:bCs/>
          <w:color w:val="1F2937"/>
          <w:sz w:val="21"/>
          <w:szCs w:val="21"/>
        </w:rPr>
        <w:t xml:space="preserve">Single Sign-On (SSO)</w:t>
      </w:r>
      <w:r>
        <w:rPr>
          <w:rFonts w:ascii="Arial" w:cs="Arial" w:eastAsia="Arial" w:hAnsi="Arial"/>
          <w:b w:val="false"/>
          <w:bCs w:val="false"/>
          <w:color w:val="1F2937"/>
          <w:sz w:val="21"/>
          <w:szCs w:val="21"/>
        </w:rPr>
        <w:t xml:space="preserve"> via the organisation’s identity provider using OIDC or SAML 2.0 — e.g. Microsoft Entra ID, Okta, or Google Workspace. Users log in with their existing corporate account.</w:t>
      </w:r>
    </w:p>
    <w:p>
      <w:pPr>
        <w:pStyle w:val="ListParagraph"/>
        <w:numPr>
          <w:ilvl w:val="0"/>
          <w:numId w:val="2"/>
        </w:numPr>
        <w:spacing w:after="60" w:line="260"/>
        <w:jc w:val="both"/>
      </w:pPr>
      <w:r>
        <w:rPr>
          <w:rFonts w:ascii="Arial" w:cs="Arial" w:eastAsia="Arial" w:hAnsi="Arial"/>
          <w:b/>
          <w:bCs/>
          <w:color w:val="1F2937"/>
          <w:sz w:val="21"/>
          <w:szCs w:val="21"/>
        </w:rPr>
        <w:t xml:space="preserve">Multi-factor authentication (MFA)</w:t>
      </w:r>
      <w:r>
        <w:rPr>
          <w:rFonts w:ascii="Arial" w:cs="Arial" w:eastAsia="Arial" w:hAnsi="Arial"/>
          <w:b w:val="false"/>
          <w:bCs w:val="false"/>
          <w:color w:val="1F2937"/>
          <w:sz w:val="21"/>
          <w:szCs w:val="21"/>
        </w:rPr>
        <w:t xml:space="preserve"> — enforced by the identity provider.</w:t>
      </w:r>
    </w:p>
    <w:p>
      <w:pPr>
        <w:pStyle w:val="ListParagraph"/>
        <w:numPr>
          <w:ilvl w:val="0"/>
          <w:numId w:val="2"/>
        </w:numPr>
        <w:spacing w:after="60" w:line="260"/>
        <w:jc w:val="both"/>
      </w:pPr>
      <w:r>
        <w:rPr>
          <w:rFonts w:ascii="Arial" w:cs="Arial" w:eastAsia="Arial" w:hAnsi="Arial"/>
          <w:b/>
          <w:bCs/>
          <w:color w:val="1F2937"/>
          <w:sz w:val="21"/>
          <w:szCs w:val="21"/>
        </w:rPr>
        <w:t xml:space="preserve">Enforcement options</w:t>
      </w:r>
      <w:r>
        <w:rPr>
          <w:rFonts w:ascii="Arial" w:cs="Arial" w:eastAsia="Arial" w:hAnsi="Arial"/>
          <w:b w:val="false"/>
          <w:bCs w:val="false"/>
          <w:color w:val="1F2937"/>
          <w:sz w:val="21"/>
          <w:szCs w:val="21"/>
        </w:rPr>
        <w:t xml:space="preserve"> — application-level (Streamlit native / OIDC login), proxy-level (an authenticating reverse proxy such as oauth2-proxy), or platform-level (Google Cloud IAP, Azure App Service Authentication).</w:t>
      </w:r>
    </w:p>
    <w:p>
      <w:pPr>
        <w:spacing w:after="120" w:line="264"/>
        <w:jc w:val="both"/>
      </w:pPr>
      <w:r>
        <w:rPr>
          <w:rFonts w:ascii="Arial" w:cs="Arial" w:eastAsia="Arial" w:hAnsi="Arial"/>
          <w:b w:val="false"/>
          <w:bCs w:val="false"/>
          <w:color w:val="1F2937"/>
          <w:sz w:val="21"/>
          <w:szCs w:val="21"/>
        </w:rPr>
        <w:t xml:space="preserve">The result: an anonymous visitor is redirected to a corporate login and cannot see any data until authenticated.</w:t>
      </w:r>
    </w:p>
    <w:p>
      <w:pPr>
        <w:pStyle w:val="Heading3"/>
      </w:pPr>
      <w:r>
        <w:t xml:space="preserve">19.2 Authorisation (what you’re allowed to do)</w:t>
      </w:r>
    </w:p>
    <w:p>
      <w:pPr>
        <w:spacing w:after="120" w:line="264"/>
        <w:jc w:val="both"/>
      </w:pPr>
      <w:r>
        <w:rPr>
          <w:rFonts w:ascii="Arial" w:cs="Arial" w:eastAsia="Arial" w:hAnsi="Arial"/>
          <w:b w:val="false"/>
          <w:bCs w:val="false"/>
          <w:color w:val="1F2937"/>
          <w:sz w:val="21"/>
          <w:szCs w:val="21"/>
        </w:rPr>
        <w:t xml:space="preserve">Role-based access control (RBAC) maps each authenticated user to a role:</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800"/>
        <w:gridCol w:w="8874"/>
      </w:tblGrid>
      <w:tr>
        <w:trPr>
          <w:tblHeader/>
        </w:trPr>
        <w:tc>
          <w:tcPr>
            <w:tcW w:type="dxa" w:w="2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Role</w:t>
            </w:r>
          </w:p>
        </w:tc>
        <w:tc>
          <w:tcPr>
            <w:tcW w:type="dxa" w:w="8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Can do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Viewer</w:t>
            </w:r>
          </w:p>
        </w:tc>
        <w:tc>
          <w:tcPr>
            <w:tcW w:type="dxa" w:w="8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Read dashboards and reports only.</w:t>
            </w:r>
          </w:p>
        </w:tc>
      </w:tr>
      <w:tr>
        <w:trPr>
          <w:tblHeader w:val="false"/>
        </w:trPr>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Analyst</w:t>
            </w:r>
          </w:p>
        </w:tc>
        <w:tc>
          <w:tcPr>
            <w:tcW w:type="dxa" w:w="8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Run assessments, triage exposures, generate reports.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Approver</w:t>
            </w:r>
          </w:p>
        </w:tc>
        <w:tc>
          <w:tcPr>
            <w:tcW w:type="dxa" w:w="8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Everything an Analyst can, plus approve risk exceptions/acceptances.</w:t>
            </w:r>
          </w:p>
        </w:tc>
      </w:tr>
      <w:tr>
        <w:trPr>
          <w:tblHeader w:val="false"/>
        </w:trPr>
        <w:tc>
          <w:tcPr>
            <w:tcW w:type="dxa" w:w="2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Administrator</w:t>
            </w:r>
          </w:p>
        </w:tc>
        <w:tc>
          <w:tcPr>
            <w:tcW w:type="dxa" w:w="8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Manage policy (weights, thresholds, SLAs), integrations, and user roles.</w:t>
            </w:r>
          </w:p>
        </w:tc>
      </w:tr>
    </w:tbl>
    <w:p>
      <w:pPr>
        <w:spacing w:after="120" w:line="264"/>
        <w:jc w:val="both"/>
      </w:pPr>
      <w:r>
        <w:rPr>
          <w:rFonts w:ascii="Arial" w:cs="Arial" w:eastAsia="Arial" w:hAnsi="Arial"/>
          <w:b w:val="false"/>
          <w:bCs w:val="false"/>
          <w:color w:val="1F2937"/>
          <w:sz w:val="21"/>
          <w:szCs w:val="21"/>
        </w:rPr>
        <w:t xml:space="preserve">This enforces least privilege — only an Approver can formally accept a risk, and only an Admin can change the scoring policy.</w:t>
      </w:r>
    </w:p>
    <w:p>
      <w:pPr>
        <w:pStyle w:val="Heading3"/>
      </w:pPr>
      <w:r>
        <w:t xml:space="preserve">19.3 Identity-aware audit</w:t>
      </w:r>
    </w:p>
    <w:p>
      <w:pPr>
        <w:spacing w:after="120" w:line="264"/>
        <w:jc w:val="both"/>
      </w:pPr>
      <w:r>
        <w:rPr>
          <w:rFonts w:ascii="Arial" w:cs="Arial" w:eastAsia="Arial" w:hAnsi="Arial"/>
          <w:b w:val="false"/>
          <w:bCs w:val="false"/>
          <w:color w:val="1F2937"/>
          <w:sz w:val="21"/>
          <w:szCs w:val="21"/>
        </w:rPr>
        <w:t xml:space="preserve">The existing audit log already records the operator behind every action. With SSO in place, that operator becomes a verified corporate identity rather than a typed-in name, so the audit trail is trustworthy enough for compliance and incident review.</w:t>
      </w:r>
    </w:p>
    <w:p>
      <w:pPr>
        <w:pStyle w:val="Heading2"/>
      </w:pPr>
      <w:r>
        <w:t xml:space="preserve">20. Production Security &amp; Compliance</w:t>
      </w:r>
    </w:p>
    <w:p>
      <w:pPr>
        <w:spacing w:after="120" w:line="264"/>
        <w:jc w:val="both"/>
      </w:pPr>
      <w:r>
        <w:rPr>
          <w:rFonts w:ascii="Arial" w:cs="Arial" w:eastAsia="Arial" w:hAnsi="Arial"/>
          <w:b w:val="false"/>
          <w:bCs w:val="false"/>
          <w:color w:val="1F2937"/>
          <w:sz w:val="21"/>
          <w:szCs w:val="21"/>
        </w:rPr>
        <w:t xml:space="preserve">Beyond login, a hosted deployment should apply standard production controls:</w:t>
      </w:r>
    </w:p>
    <w:p>
      <w:pPr>
        <w:pStyle w:val="ListParagraph"/>
        <w:numPr>
          <w:ilvl w:val="0"/>
          <w:numId w:val="2"/>
        </w:numPr>
        <w:spacing w:after="60" w:line="260"/>
        <w:jc w:val="both"/>
      </w:pPr>
      <w:r>
        <w:rPr>
          <w:rFonts w:ascii="Arial" w:cs="Arial" w:eastAsia="Arial" w:hAnsi="Arial"/>
          <w:b/>
          <w:bCs/>
          <w:color w:val="1F2937"/>
          <w:sz w:val="21"/>
          <w:szCs w:val="21"/>
        </w:rPr>
        <w:t xml:space="preserve">Encryption in transit</w:t>
      </w:r>
      <w:r>
        <w:rPr>
          <w:rFonts w:ascii="Arial" w:cs="Arial" w:eastAsia="Arial" w:hAnsi="Arial"/>
          <w:b w:val="false"/>
          <w:bCs w:val="false"/>
          <w:color w:val="1F2937"/>
          <w:sz w:val="21"/>
          <w:szCs w:val="21"/>
        </w:rPr>
        <w:t xml:space="preserve"> — all traffic over HTTPS/TLS.</w:t>
      </w:r>
    </w:p>
    <w:p>
      <w:pPr>
        <w:pStyle w:val="ListParagraph"/>
        <w:numPr>
          <w:ilvl w:val="0"/>
          <w:numId w:val="2"/>
        </w:numPr>
        <w:spacing w:after="60" w:line="260"/>
        <w:jc w:val="both"/>
      </w:pPr>
      <w:r>
        <w:rPr>
          <w:rFonts w:ascii="Arial" w:cs="Arial" w:eastAsia="Arial" w:hAnsi="Arial"/>
          <w:b/>
          <w:bCs/>
          <w:color w:val="1F2937"/>
          <w:sz w:val="21"/>
          <w:szCs w:val="21"/>
        </w:rPr>
        <w:t xml:space="preserve">Encryption at rest</w:t>
      </w:r>
      <w:r>
        <w:rPr>
          <w:rFonts w:ascii="Arial" w:cs="Arial" w:eastAsia="Arial" w:hAnsi="Arial"/>
          <w:b w:val="false"/>
          <w:bCs w:val="false"/>
          <w:color w:val="1F2937"/>
          <w:sz w:val="21"/>
          <w:szCs w:val="21"/>
        </w:rPr>
        <w:t xml:space="preserve"> — database and stored reports encrypted by the platform/cloud.</w:t>
      </w:r>
    </w:p>
    <w:p>
      <w:pPr>
        <w:pStyle w:val="ListParagraph"/>
        <w:numPr>
          <w:ilvl w:val="0"/>
          <w:numId w:val="2"/>
        </w:numPr>
        <w:spacing w:after="60" w:line="260"/>
        <w:jc w:val="both"/>
      </w:pPr>
      <w:r>
        <w:rPr>
          <w:rFonts w:ascii="Arial" w:cs="Arial" w:eastAsia="Arial" w:hAnsi="Arial"/>
          <w:b/>
          <w:bCs/>
          <w:color w:val="1F2937"/>
          <w:sz w:val="21"/>
          <w:szCs w:val="21"/>
        </w:rPr>
        <w:t xml:space="preserve">Secrets management</w:t>
      </w:r>
      <w:r>
        <w:rPr>
          <w:rFonts w:ascii="Arial" w:cs="Arial" w:eastAsia="Arial" w:hAnsi="Arial"/>
          <w:b w:val="false"/>
          <w:bCs w:val="false"/>
          <w:color w:val="1F2937"/>
          <w:sz w:val="21"/>
          <w:szCs w:val="21"/>
        </w:rPr>
        <w:t xml:space="preserve"> — the HMAC integrity key and all API keys held in a vault or cloud KMS, never in code.</w:t>
      </w:r>
    </w:p>
    <w:p>
      <w:pPr>
        <w:pStyle w:val="ListParagraph"/>
        <w:numPr>
          <w:ilvl w:val="0"/>
          <w:numId w:val="2"/>
        </w:numPr>
        <w:spacing w:after="60" w:line="260"/>
        <w:jc w:val="both"/>
      </w:pPr>
      <w:r>
        <w:rPr>
          <w:rFonts w:ascii="Arial" w:cs="Arial" w:eastAsia="Arial" w:hAnsi="Arial"/>
          <w:b/>
          <w:bCs/>
          <w:color w:val="1F2937"/>
          <w:sz w:val="21"/>
          <w:szCs w:val="21"/>
        </w:rPr>
        <w:t xml:space="preserve">Network controls</w:t>
      </w:r>
      <w:r>
        <w:rPr>
          <w:rFonts w:ascii="Arial" w:cs="Arial" w:eastAsia="Arial" w:hAnsi="Arial"/>
          <w:b w:val="false"/>
          <w:bCs w:val="false"/>
          <w:color w:val="1F2937"/>
          <w:sz w:val="21"/>
          <w:szCs w:val="21"/>
        </w:rPr>
        <w:t xml:space="preserve"> — private network or VPN, IP allow-listing, optional Web Application Firewall (WAF).</w:t>
      </w:r>
    </w:p>
    <w:p>
      <w:pPr>
        <w:pStyle w:val="ListParagraph"/>
        <w:numPr>
          <w:ilvl w:val="0"/>
          <w:numId w:val="2"/>
        </w:numPr>
        <w:spacing w:after="60" w:line="260"/>
        <w:jc w:val="both"/>
      </w:pPr>
      <w:r>
        <w:rPr>
          <w:rFonts w:ascii="Arial" w:cs="Arial" w:eastAsia="Arial" w:hAnsi="Arial"/>
          <w:b/>
          <w:bCs/>
          <w:color w:val="1F2937"/>
          <w:sz w:val="21"/>
          <w:szCs w:val="21"/>
        </w:rPr>
        <w:t xml:space="preserve">Standards alignment</w:t>
      </w:r>
      <w:r>
        <w:rPr>
          <w:rFonts w:ascii="Arial" w:cs="Arial" w:eastAsia="Arial" w:hAnsi="Arial"/>
          <w:b w:val="false"/>
          <w:bCs w:val="false"/>
          <w:color w:val="1F2937"/>
          <w:sz w:val="21"/>
          <w:szCs w:val="21"/>
        </w:rPr>
        <w:t xml:space="preserve"> — map controls and reporting to NIST CSF, CIS Controls, ISO 27001, and MITRE ATT&amp;CK; optionally adopt CISA SSVC as a decision-output format.</w:t>
      </w:r>
    </w:p>
    <w:p>
      <w:pPr>
        <w:pStyle w:val="ListParagraph"/>
        <w:numPr>
          <w:ilvl w:val="0"/>
          <w:numId w:val="2"/>
        </w:numPr>
        <w:spacing w:after="60" w:line="260"/>
        <w:jc w:val="both"/>
      </w:pPr>
      <w:r>
        <w:rPr>
          <w:rFonts w:ascii="Arial" w:cs="Arial" w:eastAsia="Arial" w:hAnsi="Arial"/>
          <w:b/>
          <w:bCs/>
          <w:color w:val="1F2937"/>
          <w:sz w:val="21"/>
          <w:szCs w:val="21"/>
        </w:rPr>
        <w:t xml:space="preserve">Backup &amp; retention</w:t>
      </w:r>
      <w:r>
        <w:rPr>
          <w:rFonts w:ascii="Arial" w:cs="Arial" w:eastAsia="Arial" w:hAnsi="Arial"/>
          <w:b w:val="false"/>
          <w:bCs w:val="false"/>
          <w:color w:val="1F2937"/>
          <w:sz w:val="21"/>
          <w:szCs w:val="21"/>
        </w:rPr>
        <w:t xml:space="preserve"> — regular backups of assessment history and signed reports for audit retention.</w:t>
      </w:r>
    </w:p>
    <w:p>
      <w:r>
        <w:br w:type="page"/>
      </w:r>
    </w:p>
    <w:p>
      <w:pPr>
        <w:pStyle w:val="Heading1"/>
      </w:pPr>
      <w:r>
        <w:t xml:space="preserve">Part C — Reference</w:t>
      </w:r>
    </w:p>
    <w:p>
      <w:pPr>
        <w:pStyle w:val="Heading2"/>
      </w:pPr>
      <w:r>
        <w:t xml:space="preserve">21. Outcomes &amp; Benefits</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3200"/>
        <w:gridCol w:w="8474"/>
      </w:tblGrid>
      <w:tr>
        <w:trPr>
          <w:tblHeader/>
        </w:trPr>
        <w:tc>
          <w:tcPr>
            <w:tcW w:type="dxa" w:w="3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Benefit</w:t>
            </w:r>
          </w:p>
        </w:tc>
        <w:tc>
          <w:tcPr>
            <w:tcW w:type="dxa" w:w="84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What it delivers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Efficient prioritisation</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Collapses hundreds of findings into a focused list of exposures with real exploitation paths.</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Scenario planning</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Simulate strategies and see the predicted percentage risk reduction before committing effort.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Audit readiness</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Signed reports plus an attributed audit log — presentable directly to auditors.</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Actionable remediation</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Teams receive clear playbooks and SLA countdowns instead of generic technical 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Explainability</w:t>
            </w:r>
          </w:p>
        </w:tc>
        <w:tc>
          <w:tcPr>
            <w:tcW w:type="dxa" w:w="8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Every priority is traceable to its contributing factors, so decisions can be defended.</w:t>
            </w:r>
          </w:p>
        </w:tc>
      </w:tr>
      <w:tr>
        <w:trPr>
          <w:tblHeader w:val="false"/>
        </w:trPr>
        <w:tc>
          <w:tcPr>
            <w:tcW w:type="dxa" w:w="3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Integration-ready</w:t>
            </w:r>
          </w:p>
        </w:tc>
        <w:tc>
          <w:tcPr>
            <w:tcW w:type="dxa" w:w="8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Designed to evolve from static files to live, automated, enterprise-wide data flows.</w:t>
            </w:r>
          </w:p>
        </w:tc>
      </w:tr>
    </w:tbl>
    <w:p>
      <w:pPr>
        <w:pStyle w:val="Heading2"/>
      </w:pPr>
      <w:r>
        <w:t xml:space="preserve">22. Scope &amp; Limitations</w:t>
      </w:r>
    </w:p>
    <w:p>
      <w:pPr>
        <w:spacing w:after="120" w:line="264"/>
        <w:jc w:val="both"/>
      </w:pPr>
      <w:r>
        <w:rPr>
          <w:rFonts w:ascii="Arial" w:cs="Arial" w:eastAsia="Arial" w:hAnsi="Arial"/>
          <w:b w:val="false"/>
          <w:bCs w:val="false"/>
          <w:color w:val="1F2937"/>
          <w:sz w:val="21"/>
          <w:szCs w:val="21"/>
        </w:rPr>
        <w:t xml:space="preserve">The boundaries of v1 are deliberate and stated openly. Each maps directly to the enhancements in Part B.</w:t>
      </w:r>
    </w:p>
    <w:p>
      <w:pPr>
        <w:pStyle w:val="ListParagraph"/>
        <w:numPr>
          <w:ilvl w:val="0"/>
          <w:numId w:val="2"/>
        </w:numPr>
        <w:spacing w:after="60" w:line="260"/>
        <w:jc w:val="both"/>
      </w:pPr>
      <w:r>
        <w:rPr>
          <w:rFonts w:ascii="Arial" w:cs="Arial" w:eastAsia="Arial" w:hAnsi="Arial"/>
          <w:b/>
          <w:bCs/>
          <w:color w:val="1F2937"/>
          <w:sz w:val="21"/>
          <w:szCs w:val="21"/>
        </w:rPr>
        <w:t xml:space="preserve">Single-operator, file-based.</w:t>
      </w:r>
      <w:r>
        <w:rPr>
          <w:rFonts w:ascii="Arial" w:cs="Arial" w:eastAsia="Arial" w:hAnsi="Arial"/>
          <w:b w:val="false"/>
          <w:bCs w:val="false"/>
          <w:color w:val="1F2937"/>
          <w:sz w:val="21"/>
          <w:szCs w:val="21"/>
        </w:rPr>
        <w:t xml:space="preserve"> State is held in files (last-write-wins); designed for one analyst or a small team. → Addressed by §18 (database + hosting).</w:t>
      </w:r>
    </w:p>
    <w:p>
      <w:pPr>
        <w:pStyle w:val="ListParagraph"/>
        <w:numPr>
          <w:ilvl w:val="0"/>
          <w:numId w:val="2"/>
        </w:numPr>
        <w:spacing w:after="60" w:line="260"/>
        <w:jc w:val="both"/>
      </w:pPr>
      <w:r>
        <w:rPr>
          <w:rFonts w:ascii="Arial" w:cs="Arial" w:eastAsia="Arial" w:hAnsi="Arial"/>
          <w:b/>
          <w:bCs/>
          <w:color w:val="1F2937"/>
          <w:sz w:val="21"/>
          <w:szCs w:val="21"/>
        </w:rPr>
        <w:t xml:space="preserve">No access control yet.</w:t>
      </w:r>
      <w:r>
        <w:rPr>
          <w:rFonts w:ascii="Arial" w:cs="Arial" w:eastAsia="Arial" w:hAnsi="Arial"/>
          <w:b w:val="false"/>
          <w:bCs w:val="false"/>
          <w:color w:val="1F2937"/>
          <w:sz w:val="21"/>
          <w:szCs w:val="21"/>
        </w:rPr>
        <w:t xml:space="preserve"> No authentication or roles in the local prototype. → Addressed by §19.</w:t>
      </w:r>
    </w:p>
    <w:p>
      <w:pPr>
        <w:pStyle w:val="ListParagraph"/>
        <w:numPr>
          <w:ilvl w:val="0"/>
          <w:numId w:val="2"/>
        </w:numPr>
        <w:spacing w:after="60" w:line="260"/>
        <w:jc w:val="both"/>
      </w:pPr>
      <w:r>
        <w:rPr>
          <w:rFonts w:ascii="Arial" w:cs="Arial" w:eastAsia="Arial" w:hAnsi="Arial"/>
          <w:b/>
          <w:bCs/>
          <w:color w:val="1F2937"/>
          <w:sz w:val="21"/>
          <w:szCs w:val="21"/>
        </w:rPr>
        <w:t xml:space="preserve">Manual / file-based integration.</w:t>
      </w:r>
      <w:r>
        <w:rPr>
          <w:rFonts w:ascii="Arial" w:cs="Arial" w:eastAsia="Arial" w:hAnsi="Arial"/>
          <w:b w:val="false"/>
          <w:bCs w:val="false"/>
          <w:color w:val="1F2937"/>
          <w:sz w:val="21"/>
          <w:szCs w:val="21"/>
        </w:rPr>
        <w:t xml:space="preserve"> Data arrives as CSV/Excel. → Addressed by §15–§17 (live connectors).</w:t>
      </w:r>
    </w:p>
    <w:p>
      <w:pPr>
        <w:pStyle w:val="ListParagraph"/>
        <w:numPr>
          <w:ilvl w:val="0"/>
          <w:numId w:val="2"/>
        </w:numPr>
        <w:spacing w:after="60" w:line="260"/>
        <w:jc w:val="both"/>
      </w:pPr>
      <w:r>
        <w:rPr>
          <w:rFonts w:ascii="Arial" w:cs="Arial" w:eastAsia="Arial" w:hAnsi="Arial"/>
          <w:b/>
          <w:bCs/>
          <w:color w:val="1F2937"/>
          <w:sz w:val="21"/>
          <w:szCs w:val="21"/>
        </w:rPr>
        <w:t xml:space="preserve">Explainable, not certified.</w:t>
      </w:r>
      <w:r>
        <w:rPr>
          <w:rFonts w:ascii="Arial" w:cs="Arial" w:eastAsia="Arial" w:hAnsi="Arial"/>
          <w:b w:val="false"/>
          <w:bCs w:val="false"/>
          <w:color w:val="1F2937"/>
          <w:sz w:val="21"/>
          <w:szCs w:val="21"/>
        </w:rPr>
        <w:t xml:space="preserve"> The scoring model is transparent and configurable, but a decision-support heuristic, not a certified quantitative risk model.</w:t>
      </w:r>
    </w:p>
    <w:p>
      <w:pPr>
        <w:pStyle w:val="Heading2"/>
      </w:pPr>
      <w:r>
        <w:t xml:space="preserve">23. Roadmap Summary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600"/>
        <w:gridCol w:w="6474"/>
        <w:gridCol w:w="2600"/>
      </w:tblGrid>
      <w:tr>
        <w:trPr>
          <w:tblHeader/>
        </w:trPr>
        <w:tc>
          <w:tcPr>
            <w:tcW w:type="dxa" w:w="2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Theme</w:t>
            </w:r>
          </w:p>
        </w:tc>
        <w:tc>
          <w:tcPr>
            <w:tcW w:type="dxa" w:w="64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Enhancement</w:t>
            </w:r>
          </w:p>
        </w:tc>
        <w:tc>
          <w:tcPr>
            <w:tcW w:type="dxa" w:w="2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Detailed in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Live data</w:t>
            </w:r>
          </w:p>
        </w:tc>
        <w:tc>
          <w:tcPr>
            <w:tcW w:type="dxa" w:w="6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Connectors to scanners, CMDB, SIEM/IDS, threat-intel, cloud posture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§15</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Automation</w:t>
            </w:r>
          </w:p>
        </w:tc>
        <w:tc>
          <w:tcPr>
            <w:tcW w:type="dxa" w:w="6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Scheduled &amp; event-driven assessments, auto-ticketing, alerting</w:t>
            </w:r>
          </w:p>
        </w:tc>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§17</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Hosting</w:t>
            </w:r>
          </w:p>
        </w:tc>
        <w:tc>
          <w:tcPr>
            <w:tcW w:type="dxa" w:w="6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Containerised / cloud deployment for real-time, multi-user access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§18, App. A</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Security</w:t>
            </w:r>
          </w:p>
        </w:tc>
        <w:tc>
          <w:tcPr>
            <w:tcW w:type="dxa" w:w="6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SSO, MFA, RBAC, secrets management, network controls</w:t>
            </w:r>
          </w:p>
        </w:tc>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§19–§20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Persistence</w:t>
            </w:r>
          </w:p>
        </w:tc>
        <w:tc>
          <w:tcPr>
            <w:tcW w:type="dxa" w:w="64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Database backend and assessment history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§18</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Standards</w:t>
            </w:r>
          </w:p>
        </w:tc>
        <w:tc>
          <w:tcPr>
            <w:tcW w:type="dxa" w:w="64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Mapping to NIST CSF, CIS, ISO 27001, MITRE ATT&amp;CK; SSVC output</w:t>
            </w:r>
          </w:p>
        </w:tc>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§20</w:t>
            </w:r>
          </w:p>
        </w:tc>
      </w:tr>
    </w:tbl>
    <w:p>
      <w:r>
        <w:br w:type="page"/>
      </w:r>
    </w:p>
    <w:p>
      <w:pPr>
        <w:pStyle w:val="Heading1"/>
      </w:pPr>
      <w:r>
        <w:t xml:space="preserve">Appendix A — Deploying on Google Cloud (Overview)</w:t>
      </w:r>
    </w:p>
    <w:p>
      <w:pPr>
        <w:spacing w:after="120" w:line="264"/>
        <w:jc w:val="both"/>
      </w:pPr>
      <w:r>
        <w:rPr>
          <w:rFonts w:ascii="Arial" w:cs="Arial" w:eastAsia="Arial" w:hAnsi="Arial"/>
          <w:b w:val="false"/>
          <w:bCs w:val="false"/>
          <w:color w:val="1F2937"/>
          <w:sz w:val="21"/>
          <w:szCs w:val="21"/>
        </w:rPr>
        <w:t xml:space="preserve">This appendix summarises the production deployment on Google Cloud Platform using </w:t>
      </w:r>
      <w:r>
        <w:rPr>
          <w:rFonts w:ascii="Arial" w:cs="Arial" w:eastAsia="Arial" w:hAnsi="Arial"/>
          <w:b/>
          <w:bCs/>
          <w:color w:val="1F2937"/>
          <w:sz w:val="21"/>
          <w:szCs w:val="21"/>
        </w:rPr>
        <w:t xml:space="preserve">Cloud Run</w:t>
      </w:r>
      <w:r>
        <w:rPr>
          <w:rFonts w:ascii="Arial" w:cs="Arial" w:eastAsia="Arial" w:hAnsi="Arial"/>
          <w:b w:val="false"/>
          <w:bCs w:val="false"/>
          <w:color w:val="1F2937"/>
          <w:sz w:val="21"/>
          <w:szCs w:val="21"/>
        </w:rPr>
        <w:t xml:space="preserve"> (managed containers with automatic HTTPS), </w:t>
      </w:r>
      <w:r>
        <w:rPr>
          <w:rFonts w:ascii="Arial" w:cs="Arial" w:eastAsia="Arial" w:hAnsi="Arial"/>
          <w:b/>
          <w:bCs/>
          <w:color w:val="1F2937"/>
          <w:sz w:val="21"/>
          <w:szCs w:val="21"/>
        </w:rPr>
        <w:t xml:space="preserve">Secret Manager</w:t>
      </w:r>
      <w:r>
        <w:rPr>
          <w:rFonts w:ascii="Arial" w:cs="Arial" w:eastAsia="Arial" w:hAnsi="Arial"/>
          <w:b w:val="false"/>
          <w:bCs w:val="false"/>
          <w:color w:val="1F2937"/>
          <w:sz w:val="21"/>
          <w:szCs w:val="21"/>
        </w:rPr>
        <w:t xml:space="preserve"> (for the report-signing key), and </w:t>
      </w:r>
      <w:r>
        <w:rPr>
          <w:rFonts w:ascii="Arial" w:cs="Arial" w:eastAsia="Arial" w:hAnsi="Arial"/>
          <w:b/>
          <w:bCs/>
          <w:color w:val="1F2937"/>
          <w:sz w:val="21"/>
          <w:szCs w:val="21"/>
        </w:rPr>
        <w:t xml:space="preserve">Identity-Aware Proxy / IAP</w:t>
      </w:r>
      <w:r>
        <w:rPr>
          <w:rFonts w:ascii="Arial" w:cs="Arial" w:eastAsia="Arial" w:hAnsi="Arial"/>
          <w:b w:val="false"/>
          <w:bCs w:val="false"/>
          <w:color w:val="1F2937"/>
          <w:sz w:val="21"/>
          <w:szCs w:val="21"/>
        </w:rPr>
        <w:t xml:space="preserve"> (so only authorised users can reach the app). A full step-by-step guide with every command is provided separately and is openable in-app.</w:t>
      </w:r>
    </w:p>
    <w:p>
      <w:pPr>
        <w:pStyle w:val="Heading2"/>
      </w:pPr>
      <w:r>
        <w:t xml:space="preserve">A.1 High-level steps</w:t>
      </w:r>
    </w:p>
    <w:p>
      <w:pPr>
        <w:pStyle w:val="ListParagraph"/>
        <w:numPr>
          <w:ilvl w:val="0"/>
          <w:numId w:val="3"/>
        </w:numPr>
        <w:spacing w:after="60" w:line="260"/>
        <w:jc w:val="both"/>
      </w:pPr>
      <w:r>
        <w:rPr>
          <w:rFonts w:ascii="Arial" w:cs="Arial" w:eastAsia="Arial" w:hAnsi="Arial"/>
          <w:b/>
          <w:bCs/>
          <w:color w:val="1F2937"/>
          <w:sz w:val="21"/>
          <w:szCs w:val="21"/>
        </w:rPr>
        <w:t xml:space="preserve">Prepare the app</w:t>
      </w:r>
      <w:r>
        <w:rPr>
          <w:rFonts w:ascii="Arial" w:cs="Arial" w:eastAsia="Arial" w:hAnsi="Arial"/>
          <w:b w:val="false"/>
          <w:bCs w:val="false"/>
          <w:color w:val="1F2937"/>
          <w:sz w:val="21"/>
          <w:szCs w:val="21"/>
        </w:rPr>
        <w:t xml:space="preserve"> — add a Dockerfile, a .dockerignore, and confirm requirements.txt. No application code changes are needed.</w:t>
      </w:r>
    </w:p>
    <w:p>
      <w:pPr>
        <w:pStyle w:val="ListParagraph"/>
        <w:numPr>
          <w:ilvl w:val="0"/>
          <w:numId w:val="3"/>
        </w:numPr>
        <w:spacing w:after="60" w:line="260"/>
        <w:jc w:val="both"/>
      </w:pPr>
      <w:r>
        <w:rPr>
          <w:rFonts w:ascii="Arial" w:cs="Arial" w:eastAsia="Arial" w:hAnsi="Arial"/>
          <w:b/>
          <w:bCs/>
          <w:color w:val="1F2937"/>
          <w:sz w:val="21"/>
          <w:szCs w:val="21"/>
        </w:rPr>
        <w:t xml:space="preserve">Set up the GCP project</w:t>
      </w:r>
      <w:r>
        <w:rPr>
          <w:rFonts w:ascii="Arial" w:cs="Arial" w:eastAsia="Arial" w:hAnsi="Arial"/>
          <w:b w:val="false"/>
          <w:bCs w:val="false"/>
          <w:color w:val="1F2937"/>
          <w:sz w:val="21"/>
          <w:szCs w:val="21"/>
        </w:rPr>
        <w:t xml:space="preserve"> — sign in, select a project, and enable the Run, Artifact Registry, Cloud Build, Secret Manager, IAP, and Compute APIs.</w:t>
      </w:r>
    </w:p>
    <w:p>
      <w:pPr>
        <w:pStyle w:val="ListParagraph"/>
        <w:numPr>
          <w:ilvl w:val="0"/>
          <w:numId w:val="3"/>
        </w:numPr>
        <w:spacing w:after="60" w:line="260"/>
        <w:jc w:val="both"/>
      </w:pPr>
      <w:r>
        <w:rPr>
          <w:rFonts w:ascii="Arial" w:cs="Arial" w:eastAsia="Arial" w:hAnsi="Arial"/>
          <w:b/>
          <w:bCs/>
          <w:color w:val="1F2937"/>
          <w:sz w:val="21"/>
          <w:szCs w:val="21"/>
        </w:rPr>
        <w:t xml:space="preserve">Create an image repository</w:t>
      </w:r>
      <w:r>
        <w:rPr>
          <w:rFonts w:ascii="Arial" w:cs="Arial" w:eastAsia="Arial" w:hAnsi="Arial"/>
          <w:b w:val="false"/>
          <w:bCs w:val="false"/>
          <w:color w:val="1F2937"/>
          <w:sz w:val="21"/>
          <w:szCs w:val="21"/>
        </w:rPr>
        <w:t xml:space="preserve"> in Artifact Registry.</w:t>
      </w:r>
    </w:p>
    <w:p>
      <w:pPr>
        <w:pStyle w:val="ListParagraph"/>
        <w:numPr>
          <w:ilvl w:val="0"/>
          <w:numId w:val="3"/>
        </w:numPr>
        <w:spacing w:after="60" w:line="260"/>
        <w:jc w:val="both"/>
      </w:pPr>
      <w:r>
        <w:rPr>
          <w:rFonts w:ascii="Arial" w:cs="Arial" w:eastAsia="Arial" w:hAnsi="Arial"/>
          <w:b/>
          <w:bCs/>
          <w:color w:val="1F2937"/>
          <w:sz w:val="21"/>
          <w:szCs w:val="21"/>
        </w:rPr>
        <w:t xml:space="preserve">Build &amp; push</w:t>
      </w:r>
      <w:r>
        <w:rPr>
          <w:rFonts w:ascii="Arial" w:cs="Arial" w:eastAsia="Arial" w:hAnsi="Arial"/>
          <w:b w:val="false"/>
          <w:bCs w:val="false"/>
          <w:color w:val="1F2937"/>
          <w:sz w:val="21"/>
          <w:szCs w:val="21"/>
        </w:rPr>
        <w:t xml:space="preserve"> the container image with Cloud Build (no local Docker required).</w:t>
      </w:r>
    </w:p>
    <w:p>
      <w:pPr>
        <w:pStyle w:val="ListParagraph"/>
        <w:numPr>
          <w:ilvl w:val="0"/>
          <w:numId w:val="3"/>
        </w:numPr>
        <w:spacing w:after="60" w:line="260"/>
        <w:jc w:val="both"/>
      </w:pPr>
      <w:r>
        <w:rPr>
          <w:rFonts w:ascii="Arial" w:cs="Arial" w:eastAsia="Arial" w:hAnsi="Arial"/>
          <w:b/>
          <w:bCs/>
          <w:color w:val="1F2937"/>
          <w:sz w:val="21"/>
          <w:szCs w:val="21"/>
        </w:rPr>
        <w:t xml:space="preserve">Deploy to Cloud Run</w:t>
      </w:r>
      <w:r>
        <w:rPr>
          <w:rFonts w:ascii="Arial" w:cs="Arial" w:eastAsia="Arial" w:hAnsi="Arial"/>
          <w:b w:val="false"/>
          <w:bCs w:val="false"/>
          <w:color w:val="1F2937"/>
          <w:sz w:val="21"/>
          <w:szCs w:val="21"/>
        </w:rPr>
        <w:t xml:space="preserve"> — you receive a live HTTPS service URL.</w:t>
      </w:r>
    </w:p>
    <w:p>
      <w:pPr>
        <w:pStyle w:val="ListParagraph"/>
        <w:numPr>
          <w:ilvl w:val="0"/>
          <w:numId w:val="3"/>
        </w:numPr>
        <w:spacing w:after="60" w:line="260"/>
        <w:jc w:val="both"/>
      </w:pPr>
      <w:r>
        <w:rPr>
          <w:rFonts w:ascii="Arial" w:cs="Arial" w:eastAsia="Arial" w:hAnsi="Arial"/>
          <w:b/>
          <w:bCs/>
          <w:color w:val="1F2937"/>
          <w:sz w:val="21"/>
          <w:szCs w:val="21"/>
        </w:rPr>
        <w:t xml:space="preserve">Store the integrity key</w:t>
      </w:r>
      <w:r>
        <w:rPr>
          <w:rFonts w:ascii="Arial" w:cs="Arial" w:eastAsia="Arial" w:hAnsi="Arial"/>
          <w:b w:val="false"/>
          <w:bCs w:val="false"/>
          <w:color w:val="1F2937"/>
          <w:sz w:val="21"/>
          <w:szCs w:val="21"/>
        </w:rPr>
        <w:t xml:space="preserve"> in Secret Manager and attach it to the service as an environment variable.</w:t>
      </w:r>
    </w:p>
    <w:p>
      <w:pPr>
        <w:pStyle w:val="ListParagraph"/>
        <w:numPr>
          <w:ilvl w:val="0"/>
          <w:numId w:val="3"/>
        </w:numPr>
        <w:spacing w:after="60" w:line="260"/>
        <w:jc w:val="both"/>
      </w:pPr>
      <w:r>
        <w:rPr>
          <w:rFonts w:ascii="Arial" w:cs="Arial" w:eastAsia="Arial" w:hAnsi="Arial"/>
          <w:b/>
          <w:bCs/>
          <w:color w:val="1F2937"/>
          <w:sz w:val="21"/>
          <w:szCs w:val="21"/>
        </w:rPr>
        <w:t xml:space="preserve">Lock it down with IAP</w:t>
      </w:r>
      <w:r>
        <w:rPr>
          <w:rFonts w:ascii="Arial" w:cs="Arial" w:eastAsia="Arial" w:hAnsi="Arial"/>
          <w:b w:val="false"/>
          <w:bCs w:val="false"/>
          <w:color w:val="1F2937"/>
          <w:sz w:val="21"/>
          <w:szCs w:val="21"/>
        </w:rPr>
        <w:t xml:space="preserve"> — put the service behind an authenticating proxy so no one reaches it without signing in; grant access only to named users or groups.</w:t>
      </w:r>
    </w:p>
    <w:p>
      <w:pPr>
        <w:pStyle w:val="ListParagraph"/>
        <w:numPr>
          <w:ilvl w:val="0"/>
          <w:numId w:val="3"/>
        </w:numPr>
        <w:spacing w:after="60" w:line="260"/>
        <w:jc w:val="both"/>
      </w:pPr>
      <w:r>
        <w:rPr>
          <w:rFonts w:ascii="Arial" w:cs="Arial" w:eastAsia="Arial" w:hAnsi="Arial"/>
          <w:b/>
          <w:bCs/>
          <w:color w:val="1F2937"/>
          <w:sz w:val="21"/>
          <w:szCs w:val="21"/>
        </w:rPr>
        <w:t xml:space="preserve">Custom domain &amp; HTTPS</w:t>
      </w:r>
      <w:r>
        <w:rPr>
          <w:rFonts w:ascii="Arial" w:cs="Arial" w:eastAsia="Arial" w:hAnsi="Arial"/>
          <w:b w:val="false"/>
          <w:bCs w:val="false"/>
          <w:color w:val="1F2937"/>
          <w:sz w:val="21"/>
          <w:szCs w:val="21"/>
        </w:rPr>
        <w:t xml:space="preserve"> — map your own domain; TLS is automatic.</w:t>
      </w:r>
    </w:p>
    <w:p>
      <w:pPr>
        <w:pStyle w:val="ListParagraph"/>
        <w:numPr>
          <w:ilvl w:val="0"/>
          <w:numId w:val="3"/>
        </w:numPr>
        <w:spacing w:after="60" w:line="260"/>
        <w:jc w:val="both"/>
      </w:pPr>
      <w:r>
        <w:rPr>
          <w:rFonts w:ascii="Arial" w:cs="Arial" w:eastAsia="Arial" w:hAnsi="Arial"/>
          <w:b/>
          <w:bCs/>
          <w:color w:val="1F2937"/>
          <w:sz w:val="21"/>
          <w:szCs w:val="21"/>
        </w:rPr>
        <w:t xml:space="preserve">Optional</w:t>
      </w:r>
      <w:r>
        <w:rPr>
          <w:rFonts w:ascii="Arial" w:cs="Arial" w:eastAsia="Arial" w:hAnsi="Arial"/>
          <w:b w:val="false"/>
          <w:bCs w:val="false"/>
          <w:color w:val="1F2937"/>
          <w:sz w:val="21"/>
          <w:szCs w:val="21"/>
        </w:rPr>
        <w:t xml:space="preserve"> — set up continuous deployment from GitHub, logging, monitoring, and a managed database for durable history.</w:t>
      </w:r>
    </w:p>
    <w:p>
      <w:pPr>
        <w:pStyle w:val="Heading2"/>
      </w:pPr>
      <w:r>
        <w:t xml:space="preserve">A.2 Representative commands</w:t>
      </w:r>
    </w:p>
    <w:p>
      <w:pPr>
        <w:spacing w:after="120" w:line="264"/>
        <w:jc w:val="both"/>
      </w:pPr>
      <w:r>
        <w:rPr>
          <w:rFonts w:ascii="Arial" w:cs="Arial" w:eastAsia="Arial" w:hAnsi="Arial"/>
          <w:b w:val="false"/>
          <w:bCs w:val="false"/>
          <w:color w:val="1F2937"/>
          <w:sz w:val="21"/>
          <w:szCs w:val="21"/>
        </w:rPr>
        <w:t xml:space="preserve">A handful of the core commands (illustrative — the full guide contains the complete sequence and the Dockerfile):</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11674"/>
      </w:tblGrid>
      <w:tr>
        <w:tc>
          <w:tcPr>
            <w:tcW w:type="dxa" w:w="11674"/>
            <w:tcBorders>
              <w:top w:val="single" w:color="D8DEE6" w:sz="1"/>
              <w:left w:val="single" w:color="01A982" w:sz="12"/>
              <w:bottom w:val="single" w:color="D8DEE6" w:sz="1"/>
              <w:right w:val="single" w:color="D8DEE6" w:sz="1"/>
            </w:tcBorders>
            <w:shd w:fill="F4F6F8" w:val="clear"/>
            <w:tcMar>
              <w:top w:type="dxa" w:w="80"/>
              <w:left w:type="dxa" w:w="160"/>
              <w:bottom w:type="dxa" w:w="80"/>
              <w:right w:type="dxa" w:w="120"/>
            </w:tcMar>
          </w:tcPr>
          <w:p>
            <w:pPr>
              <w:spacing w:after="0" w:line="240"/>
            </w:pPr>
            <w:r>
              <w:rPr>
                <w:rFonts w:ascii="Consolas" w:cs="Consolas" w:eastAsia="Consolas" w:hAnsi="Consolas"/>
                <w:color w:val="1F2937"/>
                <w:sz w:val="18"/>
                <w:szCs w:val="18"/>
              </w:rPr>
              <w:t xml:space="preserve"># Enable services and build the image</w:t>
            </w:r>
          </w:p>
          <w:p>
            <w:pPr>
              <w:spacing w:after="0" w:line="240"/>
            </w:pPr>
            <w:r>
              <w:rPr>
                <w:rFonts w:ascii="Consolas" w:cs="Consolas" w:eastAsia="Consolas" w:hAnsi="Consolas"/>
                <w:color w:val="1F2937"/>
                <w:sz w:val="18"/>
                <w:szCs w:val="18"/>
              </w:rPr>
              <w:t xml:space="preserve">gcloud services enable run.googleapis.com artifactregistry.googleapis.com cloudbuild.googleapis.com secretmanager.googleapis.com iap.googleapis.com</w:t>
            </w:r>
          </w:p>
          <w:p>
            <w:pPr>
              <w:spacing w:after="0" w:line="240"/>
            </w:pPr>
            <w:r>
              <w:rPr>
                <w:rFonts w:ascii="Consolas" w:cs="Consolas" w:eastAsia="Consolas" w:hAnsi="Consolas"/>
                <w:color w:val="1F2937"/>
                <w:sz w:val="18"/>
                <w:szCs w:val="18"/>
              </w:rPr>
              <w:t xml:space="preserve">gcloud builds submit --tag REGION-docker.pkg.dev/PROJECT_ID/cegp-repo/cegp:latest</w:t>
            </w:r>
          </w:p>
          <w:p>
            <w:pPr>
              <w:spacing w:after="0" w:line="240"/>
            </w:pPr>
            <w:r>
              <w:rPr>
                <w:rFonts w:ascii="Consolas" w:cs="Consolas" w:eastAsia="Consolas" w:hAnsi="Consolas"/>
                <w:color w:val="1F2937"/>
                <w:sz w:val="18"/>
                <w:szCs w:val="18"/>
              </w:rPr>
              <w:t xml:space="preserve"/>
            </w:r>
          </w:p>
          <w:p>
            <w:pPr>
              <w:spacing w:after="0" w:line="240"/>
            </w:pPr>
            <w:r>
              <w:rPr>
                <w:rFonts w:ascii="Consolas" w:cs="Consolas" w:eastAsia="Consolas" w:hAnsi="Consolas"/>
                <w:color w:val="1F2937"/>
                <w:sz w:val="18"/>
                <w:szCs w:val="18"/>
              </w:rPr>
              <w:t xml:space="preserve"># Deploy to Cloud Run (publicly reachable until IAP is enabled)</w:t>
            </w:r>
          </w:p>
          <w:p>
            <w:pPr>
              <w:spacing w:after="0" w:line="240"/>
            </w:pPr>
            <w:r>
              <w:rPr>
                <w:rFonts w:ascii="Consolas" w:cs="Consolas" w:eastAsia="Consolas" w:hAnsi="Consolas"/>
                <w:color w:val="1F2937"/>
                <w:sz w:val="18"/>
                <w:szCs w:val="18"/>
              </w:rPr>
              <w:t xml:space="preserve">gcloud run deploy cegp --image REGION-docker.pkg.dev/PROJECT_ID/cegp-repo/cegp:latest \</w:t>
            </w:r>
          </w:p>
          <w:p>
            <w:pPr>
              <w:spacing w:after="0" w:line="240"/>
            </w:pPr>
            <w:r>
              <w:rPr>
                <w:rFonts w:ascii="Consolas" w:cs="Consolas" w:eastAsia="Consolas" w:hAnsi="Consolas"/>
                <w:color w:val="1F2937"/>
                <w:sz w:val="18"/>
                <w:szCs w:val="18"/>
              </w:rPr>
              <w:t xml:space="preserve">  --region REGION --port 8080 --memory 1Gi --allow-unauthenticated</w:t>
            </w:r>
          </w:p>
          <w:p>
            <w:pPr>
              <w:spacing w:after="0" w:line="240"/>
            </w:pPr>
            <w:r>
              <w:rPr>
                <w:rFonts w:ascii="Consolas" w:cs="Consolas" w:eastAsia="Consolas" w:hAnsi="Consolas"/>
                <w:color w:val="1F2937"/>
                <w:sz w:val="18"/>
                <w:szCs w:val="18"/>
              </w:rPr>
              <w:t xml:space="preserve"/>
            </w:r>
          </w:p>
          <w:p>
            <w:pPr>
              <w:spacing w:after="0" w:line="240"/>
            </w:pPr>
            <w:r>
              <w:rPr>
                <w:rFonts w:ascii="Consolas" w:cs="Consolas" w:eastAsia="Consolas" w:hAnsi="Consolas"/>
                <w:color w:val="1F2937"/>
                <w:sz w:val="18"/>
                <w:szCs w:val="18"/>
              </w:rPr>
              <w:t xml:space="preserve"># Store and attach the signing key</w:t>
            </w:r>
          </w:p>
          <w:p>
            <w:pPr>
              <w:spacing w:after="0" w:line="240"/>
            </w:pPr>
            <w:r>
              <w:rPr>
                <w:rFonts w:ascii="Consolas" w:cs="Consolas" w:eastAsia="Consolas" w:hAnsi="Consolas"/>
                <w:color w:val="1F2937"/>
                <w:sz w:val="18"/>
                <w:szCs w:val="18"/>
              </w:rPr>
              <w:t xml:space="preserve">openssl rand -hex 32 | gcloud secrets create cegp-integrity-key --data-file=-</w:t>
            </w:r>
          </w:p>
          <w:p>
            <w:pPr>
              <w:spacing w:after="0" w:line="240"/>
            </w:pPr>
            <w:r>
              <w:rPr>
                <w:rFonts w:ascii="Consolas" w:cs="Consolas" w:eastAsia="Consolas" w:hAnsi="Consolas"/>
                <w:color w:val="1F2937"/>
                <w:sz w:val="18"/>
                <w:szCs w:val="18"/>
              </w:rPr>
              <w:t xml:space="preserve">gcloud run services update cegp --update-secrets REPORT_INTEGRITY_KEY=cegp-integrity-key:latest</w:t>
            </w:r>
          </w:p>
        </w:tc>
      </w:tr>
    </w:tbl>
    <w:p>
      <w:pPr>
        <w:spacing w:after="120" w:line="264"/>
        <w:jc w:val="both"/>
      </w:pPr>
      <w:r>
        <w:rPr>
          <w:rFonts w:ascii="Arial" w:cs="Arial" w:eastAsia="Arial" w:hAnsi="Arial"/>
          <w:b/>
          <w:bCs/>
          <w:color w:val="1F2937"/>
          <w:sz w:val="21"/>
          <w:szCs w:val="21"/>
        </w:rPr>
        <w:t xml:space="preserve">Cost note:</w:t>
      </w:r>
      <w:r>
        <w:rPr>
          <w:rFonts w:ascii="Arial" w:cs="Arial" w:eastAsia="Arial" w:hAnsi="Arial"/>
          <w:b w:val="false"/>
          <w:bCs w:val="false"/>
          <w:color w:val="1F2937"/>
          <w:sz w:val="21"/>
          <w:szCs w:val="21"/>
        </w:rPr>
        <w:t xml:space="preserve"> Cloud Run scales to zero and bills per request, so light use is inexpensive; the main always-on cost is the load balancer used with IAP. Set a billing budget alert.</w:t>
      </w:r>
    </w:p>
    <w:p>
      <w:r>
        <w:br w:type="page"/>
      </w:r>
    </w:p>
    <w:p>
      <w:pPr>
        <w:pStyle w:val="Heading1"/>
      </w:pPr>
      <w:r>
        <w:t xml:space="preserve">Appendix B — Validation &amp; Accuracy</w:t>
      </w:r>
    </w:p>
    <w:p>
      <w:pPr>
        <w:spacing w:after="120" w:line="264"/>
        <w:jc w:val="both"/>
      </w:pPr>
      <w:r>
        <w:rPr>
          <w:rFonts w:ascii="Arial" w:cs="Arial" w:eastAsia="Arial" w:hAnsi="Arial"/>
          <w:b w:val="false"/>
          <w:bCs w:val="false"/>
          <w:color w:val="1F2937"/>
          <w:sz w:val="21"/>
          <w:szCs w:val="21"/>
        </w:rPr>
        <w:t xml:space="preserve">A reasonable challenge to any risk-scoring tool is: how do you know the results are accurate? The honest first step is to separate three different meanings of “accuracy”, because a risk-prioritisation model is not right-or-wrong like a measurement instrument — there is no single ground-truth score for a vulnerability.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5874"/>
      </w:tblGrid>
      <w:tr>
        <w:trPr>
          <w:tblHeader/>
        </w:trPr>
        <w:tc>
          <w:tcPr>
            <w:tcW w:type="dxa" w:w="22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Layer</w:t>
            </w:r>
          </w:p>
        </w:tc>
        <w:tc>
          <w:tcPr>
            <w:tcW w:type="dxa" w:w="3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The claim</w:t>
            </w:r>
          </w:p>
        </w:tc>
        <w:tc>
          <w:tcPr>
            <w:tcW w:type="dxa" w:w="58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How it is validated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Data accuracy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intelligence is correct.</w:t>
            </w:r>
          </w:p>
        </w:tc>
        <w:tc>
          <w:tcPr>
            <w:tcW w:type="dxa" w:w="5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CVSS, EPSS and KEV are taken verbatim from authoritative sources (NVD, FIRST, CISA). The tool does not invent intelligence; accuracy here means fidelity to those feeds, reconcilable against the live services.</w:t>
            </w:r>
          </w:p>
        </w:tc>
      </w:tr>
      <w:tr>
        <w:trPr>
          <w:tblHeader w:val="false"/>
        </w:trPr>
        <w:tc>
          <w:tcPr>
            <w:tcW w:type="dxa" w:w="22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Computational correctness</w:t>
            </w:r>
          </w:p>
        </w:tc>
        <w:tc>
          <w:tcPr>
            <w:tcW w:type="dxa" w:w="3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engine computes what it claims, reproducibly.</w:t>
            </w:r>
          </w:p>
        </w:tc>
        <w:tc>
          <w:tcPr>
            <w:tcW w:type="dxa" w:w="58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pipeline is deterministic (same input → same output) and fully explainable — every point of the 0–100 score traces back to a named factor, so any result can be inspected and justified.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Prioritisation validity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ranking makes sound sense.</w:t>
            </w:r>
          </w:p>
        </w:tc>
        <w:tc>
          <w:tcPr>
            <w:tcW w:type="dxa" w:w="58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weighting follows recognised Risk-Based Vulnerability Management doctrine (likelihood + exploitation + impact, not CVSS alone), aligned with CISA SSVC, FIRST EPSS guidance and NIST — then validated empirically by back-testing.</w:t>
            </w:r>
          </w:p>
        </w:tc>
      </w:tr>
    </w:tbl>
    <w:p>
      <w:pPr>
        <w:pStyle w:val="Heading2"/>
      </w:pPr>
      <w:r>
        <w:t xml:space="preserve">B.1 Validation methods</w:t>
      </w:r>
    </w:p>
    <w:p>
      <w:pPr>
        <w:pStyle w:val="ListParagraph"/>
        <w:numPr>
          <w:ilvl w:val="0"/>
          <w:numId w:val="2"/>
        </w:numPr>
        <w:spacing w:after="60" w:line="260"/>
        <w:jc w:val="both"/>
      </w:pPr>
      <w:r>
        <w:rPr>
          <w:rFonts w:ascii="Arial" w:cs="Arial" w:eastAsia="Arial" w:hAnsi="Arial"/>
          <w:b/>
          <w:bCs/>
          <w:color w:val="1F2937"/>
          <w:sz w:val="21"/>
          <w:szCs w:val="21"/>
        </w:rPr>
        <w:t xml:space="preserve">Traceability</w:t>
      </w:r>
      <w:r>
        <w:rPr>
          <w:rFonts w:ascii="Arial" w:cs="Arial" w:eastAsia="Arial" w:hAnsi="Arial"/>
          <w:b w:val="false"/>
          <w:bCs w:val="false"/>
          <w:color w:val="1F2937"/>
          <w:sz w:val="21"/>
          <w:szCs w:val="21"/>
        </w:rPr>
        <w:t xml:space="preserve"> — every exposure exposes its per-factor score drivers; the contribution of threat intel, business, network, IDS and privacy can be shown individually.</w:t>
      </w:r>
    </w:p>
    <w:p>
      <w:pPr>
        <w:pStyle w:val="ListParagraph"/>
        <w:numPr>
          <w:ilvl w:val="0"/>
          <w:numId w:val="2"/>
        </w:numPr>
        <w:spacing w:after="60" w:line="260"/>
        <w:jc w:val="both"/>
      </w:pPr>
      <w:r>
        <w:rPr>
          <w:rFonts w:ascii="Arial" w:cs="Arial" w:eastAsia="Arial" w:hAnsi="Arial"/>
          <w:b/>
          <w:bCs/>
          <w:color w:val="1F2937"/>
          <w:sz w:val="21"/>
          <w:szCs w:val="21"/>
        </w:rPr>
        <w:t xml:space="preserve">Reproducibility</w:t>
      </w:r>
      <w:r>
        <w:rPr>
          <w:rFonts w:ascii="Arial" w:cs="Arial" w:eastAsia="Arial" w:hAnsi="Arial"/>
          <w:b w:val="false"/>
          <w:bCs w:val="false"/>
          <w:color w:val="1F2937"/>
          <w:sz w:val="21"/>
          <w:szCs w:val="21"/>
        </w:rPr>
        <w:t xml:space="preserve"> — re-running an assessment yields identical results; the bundled offline intelligence guarantees determinism.</w:t>
      </w:r>
    </w:p>
    <w:p>
      <w:pPr>
        <w:pStyle w:val="ListParagraph"/>
        <w:numPr>
          <w:ilvl w:val="0"/>
          <w:numId w:val="2"/>
        </w:numPr>
        <w:spacing w:after="60" w:line="260"/>
        <w:jc w:val="both"/>
      </w:pPr>
      <w:r>
        <w:rPr>
          <w:rFonts w:ascii="Arial" w:cs="Arial" w:eastAsia="Arial" w:hAnsi="Arial"/>
          <w:b/>
          <w:bCs/>
          <w:color w:val="1F2937"/>
          <w:sz w:val="21"/>
          <w:szCs w:val="21"/>
        </w:rPr>
        <w:t xml:space="preserve">Back-testing against known incidents</w:t>
      </w:r>
      <w:r>
        <w:rPr>
          <w:rFonts w:ascii="Arial" w:cs="Arial" w:eastAsia="Arial" w:hAnsi="Arial"/>
          <w:b w:val="false"/>
          <w:bCs w:val="false"/>
          <w:color w:val="1F2937"/>
          <w:sz w:val="21"/>
          <w:szCs w:val="21"/>
        </w:rPr>
        <w:t xml:space="preserve"> — feeding historically exploited CVEs and confirming they surface as Critical (see B.2).</w:t>
      </w:r>
    </w:p>
    <w:p>
      <w:pPr>
        <w:pStyle w:val="ListParagraph"/>
        <w:numPr>
          <w:ilvl w:val="0"/>
          <w:numId w:val="2"/>
        </w:numPr>
        <w:spacing w:after="60" w:line="260"/>
        <w:jc w:val="both"/>
      </w:pPr>
      <w:r>
        <w:rPr>
          <w:rFonts w:ascii="Arial" w:cs="Arial" w:eastAsia="Arial" w:hAnsi="Arial"/>
          <w:b/>
          <w:bCs/>
          <w:color w:val="1F2937"/>
          <w:sz w:val="21"/>
          <w:szCs w:val="21"/>
        </w:rPr>
        <w:t xml:space="preserve">Benchmarking against alternatives</w:t>
      </w:r>
      <w:r>
        <w:rPr>
          <w:rFonts w:ascii="Arial" w:cs="Arial" w:eastAsia="Arial" w:hAnsi="Arial"/>
          <w:b w:val="false"/>
          <w:bCs w:val="false"/>
          <w:color w:val="1F2937"/>
          <w:sz w:val="21"/>
          <w:szCs w:val="21"/>
        </w:rPr>
        <w:t xml:space="preserve"> — comparing the ranking with CVSS-only and EPSS-only ordering to show it catches the “exploited Medium” cases the others miss.</w:t>
      </w:r>
    </w:p>
    <w:p>
      <w:pPr>
        <w:pStyle w:val="ListParagraph"/>
        <w:numPr>
          <w:ilvl w:val="0"/>
          <w:numId w:val="2"/>
        </w:numPr>
        <w:spacing w:after="60" w:line="260"/>
        <w:jc w:val="both"/>
      </w:pPr>
      <w:r>
        <w:rPr>
          <w:rFonts w:ascii="Arial" w:cs="Arial" w:eastAsia="Arial" w:hAnsi="Arial"/>
          <w:b/>
          <w:bCs/>
          <w:color w:val="1F2937"/>
          <w:sz w:val="21"/>
          <w:szCs w:val="21"/>
        </w:rPr>
        <w:t xml:space="preserve">Sensitivity analysis</w:t>
      </w:r>
      <w:r>
        <w:rPr>
          <w:rFonts w:ascii="Arial" w:cs="Arial" w:eastAsia="Arial" w:hAnsi="Arial"/>
          <w:b w:val="false"/>
          <w:bCs w:val="false"/>
          <w:color w:val="1F2937"/>
          <w:sz w:val="21"/>
          <w:szCs w:val="21"/>
        </w:rPr>
        <w:t xml:space="preserve"> — varying weights and thresholds to confirm the ranking moves predictably and remains stable.</w:t>
      </w:r>
    </w:p>
    <w:p>
      <w:pPr>
        <w:pStyle w:val="ListParagraph"/>
        <w:numPr>
          <w:ilvl w:val="0"/>
          <w:numId w:val="2"/>
        </w:numPr>
        <w:spacing w:after="60" w:line="260"/>
        <w:jc w:val="both"/>
      </w:pPr>
      <w:r>
        <w:rPr>
          <w:rFonts w:ascii="Arial" w:cs="Arial" w:eastAsia="Arial" w:hAnsi="Arial"/>
          <w:b/>
          <w:bCs/>
          <w:color w:val="1F2937"/>
          <w:sz w:val="21"/>
          <w:szCs w:val="21"/>
        </w:rPr>
        <w:t xml:space="preserve">Edge-case coverage</w:t>
      </w:r>
      <w:r>
        <w:rPr>
          <w:rFonts w:ascii="Arial" w:cs="Arial" w:eastAsia="Arial" w:hAnsi="Arial"/>
          <w:b w:val="false"/>
          <w:bCs w:val="false"/>
          <w:color w:val="1F2937"/>
          <w:sz w:val="21"/>
          <w:szCs w:val="21"/>
        </w:rPr>
        <w:t xml:space="preserve"> — the bundled ~300-row dataset exercises every scoring branch, plus intentional malformed rows to prove the validation gates work.</w:t>
      </w:r>
    </w:p>
    <w:p>
      <w:pPr>
        <w:pStyle w:val="ListParagraph"/>
        <w:numPr>
          <w:ilvl w:val="0"/>
          <w:numId w:val="2"/>
        </w:numPr>
        <w:spacing w:after="60" w:line="260"/>
        <w:jc w:val="both"/>
      </w:pPr>
      <w:r>
        <w:rPr>
          <w:rFonts w:ascii="Arial" w:cs="Arial" w:eastAsia="Arial" w:hAnsi="Arial"/>
          <w:b/>
          <w:bCs/>
          <w:color w:val="1F2937"/>
          <w:sz w:val="21"/>
          <w:szCs w:val="21"/>
        </w:rPr>
        <w:t xml:space="preserve">Input validation</w:t>
      </w:r>
      <w:r>
        <w:rPr>
          <w:rFonts w:ascii="Arial" w:cs="Arial" w:eastAsia="Arial" w:hAnsi="Arial"/>
          <w:b w:val="false"/>
          <w:bCs w:val="false"/>
          <w:color w:val="1F2937"/>
          <w:sz w:val="21"/>
          <w:szCs w:val="21"/>
        </w:rPr>
        <w:t xml:space="preserve"> — malformed CVEs, duplicates and out-of-range values are caught and reported, so accuracy cannot be silently corrupted.</w:t>
      </w:r>
    </w:p>
    <w:p>
      <w:pPr>
        <w:pStyle w:val="ListParagraph"/>
        <w:numPr>
          <w:ilvl w:val="0"/>
          <w:numId w:val="2"/>
        </w:numPr>
        <w:spacing w:after="60" w:line="260"/>
        <w:jc w:val="both"/>
      </w:pPr>
      <w:r>
        <w:rPr>
          <w:rFonts w:ascii="Arial" w:cs="Arial" w:eastAsia="Arial" w:hAnsi="Arial"/>
          <w:b/>
          <w:bCs/>
          <w:color w:val="1F2937"/>
          <w:sz w:val="21"/>
          <w:szCs w:val="21"/>
        </w:rPr>
        <w:t xml:space="preserve">Classifier metrics</w:t>
      </w:r>
      <w:r>
        <w:rPr>
          <w:rFonts w:ascii="Arial" w:cs="Arial" w:eastAsia="Arial" w:hAnsi="Arial"/>
          <w:b w:val="false"/>
          <w:bCs w:val="false"/>
          <w:color w:val="1F2937"/>
          <w:sz w:val="21"/>
          <w:szCs w:val="21"/>
        </w:rPr>
        <w:t xml:space="preserve"> — framing “will this be exploited?” as a prediction allows precision / recall / F1 / ROC-AUC using KEV+EPSS as ground truth, with weights calibrated over time.</w:t>
      </w:r>
    </w:p>
    <w:p>
      <w:pPr>
        <w:pStyle w:val="ListParagraph"/>
        <w:numPr>
          <w:ilvl w:val="0"/>
          <w:numId w:val="2"/>
        </w:numPr>
        <w:spacing w:after="60" w:line="260"/>
        <w:jc w:val="both"/>
      </w:pPr>
      <w:r>
        <w:rPr>
          <w:rFonts w:ascii="Arial" w:cs="Arial" w:eastAsia="Arial" w:hAnsi="Arial"/>
          <w:b/>
          <w:bCs/>
          <w:color w:val="1F2937"/>
          <w:sz w:val="21"/>
          <w:szCs w:val="21"/>
        </w:rPr>
        <w:t xml:space="preserve">Expert face-validity</w:t>
      </w:r>
      <w:r>
        <w:rPr>
          <w:rFonts w:ascii="Arial" w:cs="Arial" w:eastAsia="Arial" w:hAnsi="Arial"/>
          <w:b w:val="false"/>
          <w:bCs w:val="false"/>
          <w:color w:val="1F2937"/>
          <w:sz w:val="21"/>
          <w:szCs w:val="21"/>
        </w:rPr>
        <w:t xml:space="preserve"> — a practitioner reviewing a sample ranking provides construct validity.</w:t>
      </w:r>
    </w:p>
    <w:p>
      <w:pPr>
        <w:pStyle w:val="Heading2"/>
      </w:pPr>
      <w:r>
        <w:t xml:space="preserve">B.2 Back-testing demonstration</w:t>
      </w:r>
    </w:p>
    <w:p>
      <w:pPr>
        <w:spacing w:after="120" w:line="264"/>
        <w:jc w:val="both"/>
      </w:pPr>
      <w:r>
        <w:rPr>
          <w:rFonts w:ascii="Arial" w:cs="Arial" w:eastAsia="Arial" w:hAnsi="Arial"/>
          <w:b w:val="false"/>
          <w:bCs w:val="false"/>
          <w:color w:val="1F2937"/>
          <w:sz w:val="21"/>
          <w:szCs w:val="21"/>
        </w:rPr>
        <w:t xml:space="preserve">Seven of the most significant real-world exploited vulnerabilities of recent years were run through the engine under realistic exploitation conditions (internet-facing production assets holding sensitive data, with a correlated IDS exploit alert). </w:t>
      </w:r>
      <w:r>
        <w:rPr>
          <w:rFonts w:ascii="Arial" w:cs="Arial" w:eastAsia="Arial" w:hAnsi="Arial"/>
          <w:b/>
          <w:bCs/>
          <w:color w:val="1F2937"/>
          <w:sz w:val="21"/>
          <w:szCs w:val="21"/>
        </w:rPr>
        <w:t xml:space="preserve">Every one is correctly prioritised as Critical</w:t>
      </w:r>
      <w:r>
        <w:rPr>
          <w:rFonts w:ascii="Arial" w:cs="Arial" w:eastAsia="Arial" w:hAnsi="Arial"/>
          <w:b w:val="false"/>
          <w:bCs w:val="false"/>
          <w:color w:val="1F2937"/>
          <w:sz w:val="21"/>
          <w:szCs w:val="21"/>
        </w:rPr>
        <w:t xml:space="preserve"> — meaning the model would have escalated these attacks early.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900"/>
        <w:gridCol w:w="1100"/>
        <w:gridCol w:w="800"/>
        <w:gridCol w:w="1100"/>
        <w:gridCol w:w="2374"/>
      </w:tblGrid>
      <w:tr>
        <w:trPr>
          <w:tblHeader/>
        </w:trPr>
        <w:tc>
          <w:tcPr>
            <w:tcW w:type="dxa" w:w="20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CVE</w:t>
            </w:r>
          </w:p>
        </w:tc>
        <w:tc>
          <w:tcPr>
            <w:tcW w:type="dxa" w:w="34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Vulnerability</w:t>
            </w:r>
          </w:p>
        </w:tc>
        <w:tc>
          <w:tcPr>
            <w:tcW w:type="dxa" w:w="9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CVSS</w:t>
            </w:r>
          </w:p>
        </w:tc>
        <w:tc>
          <w:tcPr>
            <w:tcW w:type="dxa" w:w="11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EPSS %ile</w:t>
            </w:r>
          </w:p>
        </w:tc>
        <w:tc>
          <w:tcPr>
            <w:tcW w:type="dxa" w:w="8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KEV</w:t>
            </w:r>
          </w:p>
        </w:tc>
        <w:tc>
          <w:tcPr>
            <w:tcW w:type="dxa" w:w="11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Score</w:t>
            </w:r>
          </w:p>
        </w:tc>
        <w:tc>
          <w:tcPr>
            <w:tcW w:type="dxa" w:w="23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Priority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CVE-2021-44228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Log4Shell (Apache Log4j)</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0.999</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100.0</w:t>
            </w:r>
          </w:p>
        </w:tc>
        <w:tc>
          <w:tcPr>
            <w:tcW w:type="dxa" w:w="23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CVE-2022-26134</w:t>
            </w:r>
          </w:p>
        </w:tc>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Atlassian Confluence OGNL RCE</w:t>
            </w:r>
          </w:p>
        </w:tc>
        <w:tc>
          <w:tcPr>
            <w:tcW w:type="dxa" w:w="9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9.8</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0.985</w:t>
            </w:r>
          </w:p>
        </w:tc>
        <w:tc>
          <w:tcPr>
            <w:tcW w:type="dxa" w:w="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100.0</w:t>
            </w:r>
          </w:p>
        </w:tc>
        <w:tc>
          <w:tcPr>
            <w:tcW w:type="dxa" w:w="23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CVE-2020-1472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Zerologon (Netlogon)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100.0</w:t>
            </w:r>
          </w:p>
        </w:tc>
        <w:tc>
          <w:tcPr>
            <w:tcW w:type="dxa" w:w="23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CVE-2021-26855</w:t>
            </w:r>
          </w:p>
        </w:tc>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ProxyLogon (MS Exchange)</w:t>
            </w:r>
          </w:p>
        </w:tc>
        <w:tc>
          <w:tcPr>
            <w:tcW w:type="dxa" w:w="9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9.8</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0.993</w:t>
            </w:r>
          </w:p>
        </w:tc>
        <w:tc>
          <w:tcPr>
            <w:tcW w:type="dxa" w:w="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100.0</w:t>
            </w:r>
          </w:p>
        </w:tc>
        <w:tc>
          <w:tcPr>
            <w:tcW w:type="dxa" w:w="23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CVE-2023-34362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MOVEit Transfer SQLi</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0.997</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100.0</w:t>
            </w:r>
          </w:p>
        </w:tc>
        <w:tc>
          <w:tcPr>
            <w:tcW w:type="dxa" w:w="23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CVE-2021-34527</w:t>
            </w:r>
          </w:p>
        </w:tc>
        <w:tc>
          <w:tcPr>
            <w:tcW w:type="dxa" w:w="34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PrintNightmare (Print Spooler)</w:t>
            </w:r>
          </w:p>
        </w:tc>
        <w:tc>
          <w:tcPr>
            <w:tcW w:type="dxa" w:w="9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8.8</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0.960</w:t>
            </w:r>
          </w:p>
        </w:tc>
        <w:tc>
          <w:tcPr>
            <w:tcW w:type="dxa" w:w="8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97.8</w:t>
            </w:r>
          </w:p>
        </w:tc>
        <w:tc>
          <w:tcPr>
            <w:tcW w:type="dxa" w:w="23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CVE-2023-4966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Citrix Bleed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0.962</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97.8</w:t>
            </w:r>
          </w:p>
        </w:tc>
        <w:tc>
          <w:tcPr>
            <w:tcW w:type="dxa" w:w="23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Critical</w:t>
            </w:r>
          </w:p>
        </w:tc>
      </w:tr>
    </w:tbl>
    <w:p>
      <w:pPr>
        <w:spacing w:after="120" w:line="264"/>
        <w:jc w:val="both"/>
      </w:pPr>
      <w:r>
        <w:rPr>
          <w:rFonts w:ascii="Arial" w:cs="Arial" w:eastAsia="Arial" w:hAnsi="Arial"/>
          <w:b w:val="false"/>
          <w:bCs w:val="false"/>
          <w:color w:val="1F2937"/>
          <w:sz w:val="21"/>
          <w:szCs w:val="21"/>
        </w:rPr>
        <w:t xml:space="preserve">Two further observations strengthen the result:</w:t>
      </w:r>
    </w:p>
    <w:p>
      <w:pPr>
        <w:pStyle w:val="ListParagraph"/>
        <w:numPr>
          <w:ilvl w:val="0"/>
          <w:numId w:val="2"/>
        </w:numPr>
        <w:spacing w:after="60" w:line="260"/>
        <w:jc w:val="both"/>
      </w:pPr>
      <w:r>
        <w:rPr>
          <w:rFonts w:ascii="Arial" w:cs="Arial" w:eastAsia="Arial" w:hAnsi="Arial"/>
          <w:b/>
          <w:bCs/>
          <w:color w:val="1F2937"/>
          <w:sz w:val="21"/>
          <w:szCs w:val="21"/>
        </w:rPr>
        <w:t xml:space="preserve">Context elevates beyond raw CVSS.</w:t>
      </w:r>
      <w:r>
        <w:rPr>
          <w:rFonts w:ascii="Arial" w:cs="Arial" w:eastAsia="Arial" w:hAnsi="Arial"/>
          <w:b w:val="false"/>
          <w:bCs w:val="false"/>
          <w:color w:val="1F2937"/>
          <w:sz w:val="21"/>
          <w:szCs w:val="21"/>
        </w:rPr>
        <w:t xml:space="preserve"> Citrix Bleed (CVSS 7.5, a “High”) still reaches Critical (97.8) because it is KEV-listed, has a very high EPSS percentile, is internet-facing and touches sensitive data — exactly the case CVSS-only triage under-ranks.</w:t>
      </w:r>
    </w:p>
    <w:p>
      <w:pPr>
        <w:pStyle w:val="ListParagraph"/>
        <w:numPr>
          <w:ilvl w:val="0"/>
          <w:numId w:val="2"/>
        </w:numPr>
        <w:spacing w:after="60" w:line="260"/>
        <w:jc w:val="both"/>
      </w:pPr>
      <w:r>
        <w:rPr>
          <w:rFonts w:ascii="Arial" w:cs="Arial" w:eastAsia="Arial" w:hAnsi="Arial"/>
          <w:b/>
          <w:bCs/>
          <w:color w:val="1F2937"/>
          <w:sz w:val="21"/>
          <w:szCs w:val="21"/>
        </w:rPr>
        <w:t xml:space="preserve">The model discriminates.</w:t>
      </w:r>
      <w:r>
        <w:rPr>
          <w:rFonts w:ascii="Arial" w:cs="Arial" w:eastAsia="Arial" w:hAnsi="Arial"/>
          <w:b w:val="false"/>
          <w:bCs w:val="false"/>
          <w:color w:val="1F2937"/>
          <w:sz w:val="21"/>
          <w:szCs w:val="21"/>
        </w:rPr>
        <w:t xml:space="preserve"> A control finding — a low-severity (CVSS 2.8), internal, encrypted, no-PII asset that is not being exploited — scores about 35 (Low). The engine does not simply rate everything high; it separates genuine exposure from background noise.</w:t>
      </w:r>
    </w:p>
    <w:p>
      <w:pPr>
        <w:pStyle w:val="Heading2"/>
      </w:pPr>
      <w:r>
        <w:t xml:space="preserve">B.3 Honest framing</w:t>
      </w:r>
    </w:p>
    <w:p>
      <w:pPr>
        <w:spacing w:after="120" w:line="264"/>
        <w:jc w:val="both"/>
      </w:pPr>
      <w:r>
        <w:rPr>
          <w:rFonts w:ascii="Arial" w:cs="Arial" w:eastAsia="Arial" w:hAnsi="Arial"/>
          <w:b w:val="false"/>
          <w:bCs w:val="false"/>
          <w:color w:val="1F2937"/>
          <w:sz w:val="21"/>
          <w:szCs w:val="21"/>
        </w:rPr>
        <w:t xml:space="preserve">CEGP is a transparent, tunable decision-support model, not a certified quantitative risk engine. Because the weights are configurable, “accuracy” is partly relative to the organisation’s chosen risk policy — and that is deliberate. The explainability and configurability are themselves the validation mechanism: every factor can be inspected, challenged and adjusted, which is precisely what cannot be done with an opaque proprietary score. Validation therefore rests on transparency, reproducibility and back-testing rather than a single accuracy percentage.</w:t>
      </w:r>
    </w:p>
    <w:p>
      <w:pPr>
        <w:pStyle w:val="Heading2"/>
      </w:pPr>
      <w:r>
        <w:t xml:space="preserve">24. Glossary</w:t>
      </w:r>
    </w:p>
    <w:tbl>
      <w:tblPr>
        <w:tblW w:type="dxa" w:w="11674"/>
        <w:tblBorders>
          <w:top w:val="single" w:color="auto" w:sz="4"/>
          <w:left w:val="single" w:color="auto" w:sz="4"/>
          <w:bottom w:val="single" w:color="auto" w:sz="4"/>
          <w:right w:val="single" w:color="auto" w:sz="4"/>
          <w:insideH w:val="single" w:color="auto" w:sz="4"/>
          <w:insideV w:val="single" w:color="auto" w:sz="4"/>
        </w:tblBorders>
      </w:tblPr>
      <w:tblGrid>
        <w:gridCol w:w="2600"/>
        <w:gridCol w:w="9074"/>
      </w:tblGrid>
      <w:tr>
        <w:trPr>
          <w:tblHeader/>
        </w:trPr>
        <w:tc>
          <w:tcPr>
            <w:tcW w:type="dxa" w:w="2600"/>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Term</w:t>
            </w:r>
          </w:p>
        </w:tc>
        <w:tc>
          <w:tcPr>
            <w:tcW w:type="dxa" w:w="9074"/>
            <w:tcBorders>
              <w:top w:val="single" w:color="CCCCCC" w:sz="1"/>
              <w:left w:val="single" w:color="CCCCCC" w:sz="1"/>
              <w:bottom w:val="single" w:color="CCCCCC" w:sz="1"/>
              <w:right w:val="single" w:color="CCCCCC" w:sz="1"/>
            </w:tcBorders>
            <w:shd w:fill="15315C" w:val="clear"/>
            <w:tcMar>
              <w:top w:type="dxa" w:w="60"/>
              <w:left w:type="dxa" w:w="110"/>
              <w:bottom w:type="dxa" w:w="60"/>
              <w:right w:type="dxa" w:w="110"/>
            </w:tcMar>
            <w:vAlign w:val="center"/>
          </w:tcPr>
          <w:p>
            <w:pPr>
              <w:spacing w:after="0" w:line="240"/>
              <w:jc w:val="left"/>
            </w:pPr>
            <w:r>
              <w:rPr>
                <w:rFonts w:ascii="Arial" w:cs="Arial" w:eastAsia="Arial" w:hAnsi="Arial"/>
                <w:b/>
                <w:bCs/>
                <w:color w:val="FFFFFF"/>
                <w:sz w:val="19"/>
                <w:szCs w:val="19"/>
              </w:rPr>
              <w:t xml:space="preserve">Meaning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CVSS</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Common Vulnerability Scoring System — a standard 0–10 score for a vulnerability’s technical severity.</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EPSS</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Exploit Prediction Scoring System — probability a CVE will be exploited in the wild within 30 days.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CISA KEV</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The U.S. CISA catalogue of vulnerabilities with confirmed real-world exploitation.</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CVE</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Common Vulnerabilities and Exposures — a unique identifier for a publicly known vulnerability.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RBVM</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Risk-Based Vulnerability Management — prioritising remediation by real-world risk, not raw severity.</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BIA</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Business Impact Analysis — assessing how important an asset/process is to the business.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SSVC</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Stakeholder-Specific Vulnerability Categorization — a CISA decision framework for patch urgency.</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IDS / IPS</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Intrusion Detection / Prevention System — sensors that detect or block malicious network activity.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EDR</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Endpoint Detection and Response — agent-based detection on hosts.</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SIEM</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Security Information and Event Management — central log/alert analytics platform.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SOAR</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Security Orchestration, Automation and Response — automates security workflows.</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CMDB</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Configuration Management Database — the system of record for assets and ownership.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CSPM</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Cloud Security Posture Management — finds misconfigurations and risks in cloud environments.</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PII</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Personally Identifiable Information.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SLA</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Service-Level Agreement — here, the time allowed to remediate based on priority.</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RBAC</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Role-Based Access Control — permissions assigned by role.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SSO / MFA</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Single Sign-On / Multi-Factor Authentication.</w:t>
            </w:r>
          </w:p>
        </w:tc>
      </w:tr>
      <w:tr>
        <w:trPr>
          <w:tblHeader w:val="false"/>
        </w:trPr>
        <w:tc>
          <w:tcPr>
            <w:tcW w:type="dxa" w:w="2600"/>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OIDC / SAML</w:t>
            </w:r>
          </w:p>
        </w:tc>
        <w:tc>
          <w:tcPr>
            <w:tcW w:type="dxa" w:w="9074"/>
            <w:tcBorders>
              <w:top w:val="single" w:color="CCCCCC" w:sz="1"/>
              <w:left w:val="single" w:color="CCCCCC" w:sz="1"/>
              <w:bottom w:val="single" w:color="CCCCCC" w:sz="1"/>
              <w:right w:val="single" w:color="CCCCCC" w:sz="1"/>
            </w:tcBorders>
            <w:shd w:fill="F4F7FB"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Standard protocols used to implement SSO.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HMAC</w:t>
            </w:r>
          </w:p>
        </w:tc>
        <w:tc>
          <w:tcPr>
            <w:tcW w:type="dxa" w:w="9074"/>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40"/>
              <w:jc w:val="left"/>
            </w:pPr>
            <w:r>
              <w:rPr>
                <w:rFonts w:ascii="Arial" w:cs="Arial" w:eastAsia="Arial" w:hAnsi="Arial"/>
                <w:b w:val="false"/>
                <w:bCs w:val="false"/>
                <w:color w:val="1F2937"/>
                <w:sz w:val="19"/>
                <w:szCs w:val="19"/>
              </w:rPr>
              <w:t xml:space="preserve">Hash-based Message Authentication Code — a keyed signature that makes a report tamper-evident.</w:t>
            </w:r>
          </w:p>
        </w:tc>
      </w:tr>
    </w:tbl>
    <w:p>
      <w:pPr>
        <w:pStyle w:val="Heading2"/>
      </w:pPr>
      <w:r>
        <w:t xml:space="preserve">25. References &amp; Links</w:t>
      </w:r>
    </w:p>
    <w:p>
      <w:pPr>
        <w:pStyle w:val="Heading3"/>
      </w:pPr>
      <w:r>
        <w:t xml:space="preserve">Threat intelligence &amp; standards</w:t>
      </w:r>
    </w:p>
    <w:p>
      <w:pPr>
        <w:spacing w:after="60" w:line="252"/>
      </w:pPr>
      <w:r>
        <w:rPr>
          <w:color w:val="1F2937"/>
          <w:sz w:val="20"/>
          <w:szCs w:val="20"/>
        </w:rPr>
        <w:t xml:space="preserve">CISA Known Exploited Vulnerabilities (KEV)  —  </w:t>
      </w:r>
      <w:hyperlink w:history="1" r:id="rId0bxfjq4mht7hl2qn7xabz">
        <w:r>
          <w:rPr>
            <w:rStyle w:val="Hyperlink"/>
            <w:sz w:val="20"/>
            <w:szCs w:val="20"/>
          </w:rPr>
          <w:t xml:space="preserve">https://www.cisa.gov/known-exploited-vulnerabilities-catalog</w:t>
        </w:r>
      </w:hyperlink>
    </w:p>
    <w:p>
      <w:pPr>
        <w:spacing w:after="60" w:line="252"/>
      </w:pPr>
      <w:r>
        <w:rPr>
          <w:color w:val="1F2937"/>
          <w:sz w:val="20"/>
          <w:szCs w:val="20"/>
        </w:rPr>
        <w:t xml:space="preserve">FIRST EPSS  —  </w:t>
      </w:r>
      <w:hyperlink w:history="1" r:id="rId28r-r2jmiwt0aujn6sg39">
        <w:r>
          <w:rPr>
            <w:rStyle w:val="Hyperlink"/>
            <w:sz w:val="20"/>
            <w:szCs w:val="20"/>
          </w:rPr>
          <w:t xml:space="preserve">https://www.first.org/epss/</w:t>
        </w:r>
      </w:hyperlink>
    </w:p>
    <w:p>
      <w:pPr>
        <w:spacing w:after="60" w:line="252"/>
      </w:pPr>
      <w:r>
        <w:rPr>
          <w:color w:val="1F2937"/>
          <w:sz w:val="20"/>
          <w:szCs w:val="20"/>
        </w:rPr>
        <w:t xml:space="preserve">NVD (National Vulnerability Database)  —  </w:t>
      </w:r>
      <w:hyperlink w:history="1" r:id="rIdtsno5cts4gyrc0webvilk">
        <w:r>
          <w:rPr>
            <w:rStyle w:val="Hyperlink"/>
            <w:sz w:val="20"/>
            <w:szCs w:val="20"/>
          </w:rPr>
          <w:t xml:space="preserve">https://nvd.nist.gov/</w:t>
        </w:r>
      </w:hyperlink>
    </w:p>
    <w:p>
      <w:pPr>
        <w:spacing w:after="60" w:line="252"/>
      </w:pPr>
      <w:r>
        <w:rPr>
          <w:color w:val="1F2937"/>
          <w:sz w:val="20"/>
          <w:szCs w:val="20"/>
        </w:rPr>
        <w:t xml:space="preserve">NVD API  —  </w:t>
      </w:r>
      <w:hyperlink w:history="1" r:id="rIdmvsacpeq4rbnx4gb76w-4">
        <w:r>
          <w:rPr>
            <w:rStyle w:val="Hyperlink"/>
            <w:sz w:val="20"/>
            <w:szCs w:val="20"/>
          </w:rPr>
          <w:t xml:space="preserve">https://nvd.nist.gov/developers</w:t>
        </w:r>
      </w:hyperlink>
    </w:p>
    <w:p>
      <w:pPr>
        <w:spacing w:after="60" w:line="252"/>
      </w:pPr>
      <w:r>
        <w:rPr>
          <w:color w:val="1F2937"/>
          <w:sz w:val="20"/>
          <w:szCs w:val="20"/>
        </w:rPr>
        <w:t xml:space="preserve">NIST Cybersecurity Framework  —  </w:t>
      </w:r>
      <w:hyperlink w:history="1" r:id="rIdrwgl8zgtc4igddmloqpqi">
        <w:r>
          <w:rPr>
            <w:rStyle w:val="Hyperlink"/>
            <w:sz w:val="20"/>
            <w:szCs w:val="20"/>
          </w:rPr>
          <w:t xml:space="preserve">https://www.nist.gov/cyberframework</w:t>
        </w:r>
      </w:hyperlink>
    </w:p>
    <w:p>
      <w:pPr>
        <w:spacing w:after="60" w:line="252"/>
      </w:pPr>
      <w:r>
        <w:rPr>
          <w:color w:val="1F2937"/>
          <w:sz w:val="20"/>
          <w:szCs w:val="20"/>
        </w:rPr>
        <w:t xml:space="preserve">CIS Controls  —  </w:t>
      </w:r>
      <w:hyperlink w:history="1" r:id="rId7qaowof6ab1ir2ptgztor">
        <w:r>
          <w:rPr>
            <w:rStyle w:val="Hyperlink"/>
            <w:sz w:val="20"/>
            <w:szCs w:val="20"/>
          </w:rPr>
          <w:t xml:space="preserve">https://www.cisecurity.org/controls</w:t>
        </w:r>
      </w:hyperlink>
    </w:p>
    <w:p>
      <w:pPr>
        <w:spacing w:after="60" w:line="252"/>
      </w:pPr>
      <w:r>
        <w:rPr>
          <w:color w:val="1F2937"/>
          <w:sz w:val="20"/>
          <w:szCs w:val="20"/>
        </w:rPr>
        <w:t xml:space="preserve">MITRE ATT&amp;CK  —  </w:t>
      </w:r>
      <w:hyperlink w:history="1" r:id="rId2b3tkbyuybabgsjoszoaw">
        <w:r>
          <w:rPr>
            <w:rStyle w:val="Hyperlink"/>
            <w:sz w:val="20"/>
            <w:szCs w:val="20"/>
          </w:rPr>
          <w:t xml:space="preserve">https://attack.mitre.org/</w:t>
        </w:r>
      </w:hyperlink>
    </w:p>
    <w:p>
      <w:pPr>
        <w:spacing w:after="60" w:line="252"/>
      </w:pPr>
      <w:r>
        <w:rPr>
          <w:color w:val="1F2937"/>
          <w:sz w:val="20"/>
          <w:szCs w:val="20"/>
        </w:rPr>
        <w:t xml:space="preserve">CISA SSVC  —  </w:t>
      </w:r>
      <w:hyperlink w:history="1" r:id="rId7wgdreme6sha-dsml8x2k">
        <w:r>
          <w:rPr>
            <w:rStyle w:val="Hyperlink"/>
            <w:sz w:val="20"/>
            <w:szCs w:val="20"/>
          </w:rPr>
          <w:t xml:space="preserve">https://www.cisa.gov/stakeholder-specific-vulnerability-categorization-ssvc</w:t>
        </w:r>
      </w:hyperlink>
    </w:p>
    <w:p>
      <w:pPr>
        <w:spacing w:after="60" w:line="252"/>
      </w:pPr>
      <w:r>
        <w:rPr>
          <w:color w:val="1F2937"/>
          <w:sz w:val="20"/>
          <w:szCs w:val="20"/>
        </w:rPr>
        <w:t xml:space="preserve">MISP (threat-intel sharing)  —  </w:t>
      </w:r>
      <w:hyperlink w:history="1" r:id="rIdt6t6jffl4qx9rmcxfu4tt">
        <w:r>
          <w:rPr>
            <w:rStyle w:val="Hyperlink"/>
            <w:sz w:val="20"/>
            <w:szCs w:val="20"/>
          </w:rPr>
          <w:t xml:space="preserve">https://www.misp-project.org/</w:t>
        </w:r>
      </w:hyperlink>
    </w:p>
    <w:p>
      <w:pPr>
        <w:pStyle w:val="Heading3"/>
      </w:pPr>
      <w:r>
        <w:t xml:space="preserve">Representative market / competitor platforms</w:t>
      </w:r>
    </w:p>
    <w:p>
      <w:pPr>
        <w:spacing w:after="60" w:line="252"/>
      </w:pPr>
      <w:r>
        <w:rPr>
          <w:color w:val="1F2937"/>
          <w:sz w:val="20"/>
          <w:szCs w:val="20"/>
        </w:rPr>
        <w:t xml:space="preserve">Tenable  —  </w:t>
      </w:r>
      <w:hyperlink w:history="1" r:id="rId8_mqihluujjwz5xybzf04">
        <w:r>
          <w:rPr>
            <w:rStyle w:val="Hyperlink"/>
            <w:sz w:val="20"/>
            <w:szCs w:val="20"/>
          </w:rPr>
          <w:t xml:space="preserve">https://www.tenable.com</w:t>
        </w:r>
      </w:hyperlink>
    </w:p>
    <w:p>
      <w:pPr>
        <w:spacing w:after="60" w:line="252"/>
      </w:pPr>
      <w:r>
        <w:rPr>
          <w:color w:val="1F2937"/>
          <w:sz w:val="20"/>
          <w:szCs w:val="20"/>
        </w:rPr>
        <w:t xml:space="preserve">Qualys  —  </w:t>
      </w:r>
      <w:hyperlink w:history="1" r:id="rIdpmitf7hxmrawwttrgutgx">
        <w:r>
          <w:rPr>
            <w:rStyle w:val="Hyperlink"/>
            <w:sz w:val="20"/>
            <w:szCs w:val="20"/>
          </w:rPr>
          <w:t xml:space="preserve">https://www.qualys.com</w:t>
        </w:r>
      </w:hyperlink>
    </w:p>
    <w:p>
      <w:pPr>
        <w:spacing w:after="60" w:line="252"/>
      </w:pPr>
      <w:r>
        <w:rPr>
          <w:color w:val="1F2937"/>
          <w:sz w:val="20"/>
          <w:szCs w:val="20"/>
        </w:rPr>
        <w:t xml:space="preserve">Rapid7  —  </w:t>
      </w:r>
      <w:hyperlink w:history="1" r:id="rIdxvcamfomhk7d4k4rdszeu">
        <w:r>
          <w:rPr>
            <w:rStyle w:val="Hyperlink"/>
            <w:sz w:val="20"/>
            <w:szCs w:val="20"/>
          </w:rPr>
          <w:t xml:space="preserve">https://www.rapid7.com</w:t>
        </w:r>
      </w:hyperlink>
    </w:p>
    <w:p>
      <w:pPr>
        <w:spacing w:after="60" w:line="252"/>
      </w:pPr>
      <w:r>
        <w:rPr>
          <w:color w:val="1F2937"/>
          <w:sz w:val="20"/>
          <w:szCs w:val="20"/>
        </w:rPr>
        <w:t xml:space="preserve">Microsoft Security  —  </w:t>
      </w:r>
      <w:hyperlink w:history="1" r:id="rIdowdllpexcoq1g4oqt5qyg">
        <w:r>
          <w:rPr>
            <w:rStyle w:val="Hyperlink"/>
            <w:sz w:val="20"/>
            <w:szCs w:val="20"/>
          </w:rPr>
          <w:t xml:space="preserve">https://www.microsoft.com/security</w:t>
        </w:r>
      </w:hyperlink>
    </w:p>
    <w:p>
      <w:pPr>
        <w:spacing w:after="60" w:line="252"/>
      </w:pPr>
      <w:r>
        <w:rPr>
          <w:color w:val="1F2937"/>
          <w:sz w:val="20"/>
          <w:szCs w:val="20"/>
        </w:rPr>
        <w:t xml:space="preserve">Nucleus Security  —  </w:t>
      </w:r>
      <w:hyperlink w:history="1" r:id="rIdyan4lbldndzgbj3iijmfl">
        <w:r>
          <w:rPr>
            <w:rStyle w:val="Hyperlink"/>
            <w:sz w:val="20"/>
            <w:szCs w:val="20"/>
          </w:rPr>
          <w:t xml:space="preserve">https://nucleussec.com</w:t>
        </w:r>
      </w:hyperlink>
    </w:p>
    <w:p>
      <w:pPr>
        <w:pStyle w:val="Heading3"/>
      </w:pPr>
      <w:r>
        <w:t xml:space="preserve">Representative integration targets</w:t>
      </w:r>
    </w:p>
    <w:p>
      <w:pPr>
        <w:spacing w:after="60" w:line="252"/>
      </w:pPr>
      <w:r>
        <w:rPr>
          <w:color w:val="1F2937"/>
          <w:sz w:val="20"/>
          <w:szCs w:val="20"/>
        </w:rPr>
        <w:t xml:space="preserve">ServiceNow  —  </w:t>
      </w:r>
      <w:hyperlink w:history="1" r:id="rIdaz3gddb66v3qcozu1e4sl">
        <w:r>
          <w:rPr>
            <w:rStyle w:val="Hyperlink"/>
            <w:sz w:val="20"/>
            <w:szCs w:val="20"/>
          </w:rPr>
          <w:t xml:space="preserve">https://www.servicenow.com</w:t>
        </w:r>
      </w:hyperlink>
    </w:p>
    <w:p>
      <w:pPr>
        <w:spacing w:after="60" w:line="252"/>
      </w:pPr>
      <w:r>
        <w:rPr>
          <w:color w:val="1F2937"/>
          <w:sz w:val="20"/>
          <w:szCs w:val="20"/>
        </w:rPr>
        <w:t xml:space="preserve">Atlassian Jira  —  </w:t>
      </w:r>
      <w:hyperlink w:history="1" r:id="rIduzsfwlhmztocnfz6w81ff">
        <w:r>
          <w:rPr>
            <w:rStyle w:val="Hyperlink"/>
            <w:sz w:val="20"/>
            <w:szCs w:val="20"/>
          </w:rPr>
          <w:t xml:space="preserve">https://www.atlassian.com/software/jira</w:t>
        </w:r>
      </w:hyperlink>
    </w:p>
    <w:p>
      <w:pPr>
        <w:spacing w:after="60" w:line="252"/>
      </w:pPr>
      <w:r>
        <w:rPr>
          <w:color w:val="1F2937"/>
          <w:sz w:val="20"/>
          <w:szCs w:val="20"/>
        </w:rPr>
        <w:t xml:space="preserve">PagerDuty  —  </w:t>
      </w:r>
      <w:hyperlink w:history="1" r:id="rIdnjbqbh9axh_pt9qlw-k6v">
        <w:r>
          <w:rPr>
            <w:rStyle w:val="Hyperlink"/>
            <w:sz w:val="20"/>
            <w:szCs w:val="20"/>
          </w:rPr>
          <w:t xml:space="preserve">https://www.pagerduty.com</w:t>
        </w:r>
      </w:hyperlink>
    </w:p>
    <w:p>
      <w:pPr>
        <w:spacing w:after="60" w:line="252"/>
      </w:pPr>
      <w:r>
        <w:rPr>
          <w:color w:val="1F2937"/>
          <w:sz w:val="20"/>
          <w:szCs w:val="20"/>
        </w:rPr>
        <w:t xml:space="preserve">Splunk  —  </w:t>
      </w:r>
      <w:hyperlink w:history="1" r:id="rIds0k5b433ujt98agyruybz">
        <w:r>
          <w:rPr>
            <w:rStyle w:val="Hyperlink"/>
            <w:sz w:val="20"/>
            <w:szCs w:val="20"/>
          </w:rPr>
          <w:t xml:space="preserve">https://www.splunk.com</w:t>
        </w:r>
      </w:hyperlink>
    </w:p>
    <w:p>
      <w:pPr>
        <w:spacing w:after="60" w:line="252"/>
      </w:pPr>
      <w:r>
        <w:rPr>
          <w:color w:val="1F2937"/>
          <w:sz w:val="20"/>
          <w:szCs w:val="20"/>
        </w:rPr>
        <w:t xml:space="preserve">Microsoft Sentinel  —  </w:t>
      </w:r>
      <w:hyperlink w:history="1" r:id="rIdawmoyekl7ktmguuai11e8">
        <w:r>
          <w:rPr>
            <w:rStyle w:val="Hyperlink"/>
            <w:sz w:val="20"/>
            <w:szCs w:val="20"/>
          </w:rPr>
          <w:t xml:space="preserve">https://azure.microsoft.com/products/microsoft-sentinel</w:t>
        </w:r>
      </w:hyperlink>
    </w:p>
    <w:p>
      <w:pPr>
        <w:spacing w:after="60" w:line="252"/>
      </w:pPr>
      <w:r>
        <w:rPr>
          <w:color w:val="1F2937"/>
          <w:sz w:val="20"/>
          <w:szCs w:val="20"/>
        </w:rPr>
        <w:t xml:space="preserve">Elastic Security  —  </w:t>
      </w:r>
      <w:hyperlink w:history="1" r:id="rIdudccz8jrbz9nitega0qfn">
        <w:r>
          <w:rPr>
            <w:rStyle w:val="Hyperlink"/>
            <w:sz w:val="20"/>
            <w:szCs w:val="20"/>
          </w:rPr>
          <w:t xml:space="preserve">https://www.elastic.co/security</w:t>
        </w:r>
      </w:hyperlink>
    </w:p>
    <w:p>
      <w:pPr>
        <w:spacing w:after="60" w:line="252"/>
      </w:pPr>
      <w:r>
        <w:rPr>
          <w:color w:val="1F2937"/>
          <w:sz w:val="20"/>
          <w:szCs w:val="20"/>
        </w:rPr>
        <w:t xml:space="preserve">Suricata  —  </w:t>
      </w:r>
      <w:hyperlink w:history="1" r:id="rIdl7dvl4o-58d2fb9hk4kja">
        <w:r>
          <w:rPr>
            <w:rStyle w:val="Hyperlink"/>
            <w:sz w:val="20"/>
            <w:szCs w:val="20"/>
          </w:rPr>
          <w:t xml:space="preserve">https://suricata.io</w:t>
        </w:r>
      </w:hyperlink>
    </w:p>
    <w:p>
      <w:pPr>
        <w:pStyle w:val="Heading3"/>
      </w:pPr>
      <w:r>
        <w:t xml:space="preserve">Platform &amp; deployment</w:t>
      </w:r>
    </w:p>
    <w:p>
      <w:pPr>
        <w:spacing w:after="60" w:line="252"/>
      </w:pPr>
      <w:r>
        <w:rPr>
          <w:color w:val="1F2937"/>
          <w:sz w:val="20"/>
          <w:szCs w:val="20"/>
        </w:rPr>
        <w:t xml:space="preserve">Streamlit  —  </w:t>
      </w:r>
      <w:hyperlink w:history="1" r:id="rIds91zkakmbmj_jm5jvcmfl">
        <w:r>
          <w:rPr>
            <w:rStyle w:val="Hyperlink"/>
            <w:sz w:val="20"/>
            <w:szCs w:val="20"/>
          </w:rPr>
          <w:t xml:space="preserve">https://streamlit.io</w:t>
        </w:r>
      </w:hyperlink>
    </w:p>
    <w:p>
      <w:pPr>
        <w:spacing w:after="60" w:line="252"/>
      </w:pPr>
      <w:r>
        <w:rPr>
          <w:color w:val="1F2937"/>
          <w:sz w:val="20"/>
          <w:szCs w:val="20"/>
        </w:rPr>
        <w:t xml:space="preserve">Streamlit Docs  —  </w:t>
      </w:r>
      <w:hyperlink w:history="1" r:id="rId-zpupvv7icsixd5wt4zpi">
        <w:r>
          <w:rPr>
            <w:rStyle w:val="Hyperlink"/>
            <w:sz w:val="20"/>
            <w:szCs w:val="20"/>
          </w:rPr>
          <w:t xml:space="preserve">https://docs.streamlit.io</w:t>
        </w:r>
      </w:hyperlink>
    </w:p>
    <w:p>
      <w:pPr>
        <w:spacing w:after="60" w:line="252"/>
      </w:pPr>
      <w:r>
        <w:rPr>
          <w:color w:val="1F2937"/>
          <w:sz w:val="20"/>
          <w:szCs w:val="20"/>
        </w:rPr>
        <w:t xml:space="preserve">Google Cloud Run  —  </w:t>
      </w:r>
      <w:hyperlink w:history="1" r:id="rIdr7p019h8w8qu6bgapxh5f">
        <w:r>
          <w:rPr>
            <w:rStyle w:val="Hyperlink"/>
            <w:sz w:val="20"/>
            <w:szCs w:val="20"/>
          </w:rPr>
          <w:t xml:space="preserve">https://cloud.google.com/run/docs</w:t>
        </w:r>
      </w:hyperlink>
    </w:p>
    <w:p>
      <w:pPr>
        <w:spacing w:after="60" w:line="252"/>
      </w:pPr>
      <w:r>
        <w:rPr>
          <w:color w:val="1F2937"/>
          <w:sz w:val="20"/>
          <w:szCs w:val="20"/>
        </w:rPr>
        <w:t xml:space="preserve">Google Cloud IAP  —  </w:t>
      </w:r>
      <w:hyperlink w:history="1" r:id="rIdfwxs9vojguf52xy1wkhbq">
        <w:r>
          <w:rPr>
            <w:rStyle w:val="Hyperlink"/>
            <w:sz w:val="20"/>
            <w:szCs w:val="20"/>
          </w:rPr>
          <w:t xml:space="preserve">https://cloud.google.com/iap/docs</w:t>
        </w:r>
      </w:hyperlink>
    </w:p>
    <w:p>
      <w:pPr>
        <w:spacing w:after="60" w:line="252"/>
      </w:pPr>
      <w:r>
        <w:rPr>
          <w:color w:val="1F2937"/>
          <w:sz w:val="20"/>
          <w:szCs w:val="20"/>
        </w:rPr>
        <w:t xml:space="preserve">Enabling IAP for Cloud Run  —  </w:t>
      </w:r>
      <w:hyperlink w:history="1" r:id="rIdifyngkqvq6xhl-0hjhfpv">
        <w:r>
          <w:rPr>
            <w:rStyle w:val="Hyperlink"/>
            <w:sz w:val="20"/>
            <w:szCs w:val="20"/>
          </w:rPr>
          <w:t xml:space="preserve">https://cloud.google.com/iap/docs/enabling-cloud-run</w:t>
        </w:r>
      </w:hyperlink>
    </w:p>
    <w:p>
      <w:pPr>
        <w:spacing w:after="60" w:line="252"/>
      </w:pPr>
      <w:r>
        <w:rPr>
          <w:color w:val="1F2937"/>
          <w:sz w:val="20"/>
          <w:szCs w:val="20"/>
        </w:rPr>
        <w:t xml:space="preserve">oauth2-proxy  —  </w:t>
      </w:r>
      <w:hyperlink w:history="1" r:id="rIdcn_sf-c2h5roaqu7b-sgh">
        <w:r>
          <w:rPr>
            <w:rStyle w:val="Hyperlink"/>
            <w:sz w:val="20"/>
            <w:szCs w:val="20"/>
          </w:rPr>
          <w:t xml:space="preserve">https://oauth2-proxy.github.io/oauth2-proxy/</w:t>
        </w:r>
      </w:hyperlink>
    </w:p>
    <w:p>
      <w:pPr>
        <w:spacing w:after="60" w:line="252"/>
      </w:pPr>
      <w:r>
        <w:rPr>
          <w:color w:val="1F2937"/>
          <w:sz w:val="20"/>
          <w:szCs w:val="20"/>
        </w:rPr>
        <w:t xml:space="preserve">OpenID Connect  —  </w:t>
      </w:r>
      <w:hyperlink w:history="1" r:id="rIdnbxsnwfdmaqk1ztg-xl8-">
        <w:r>
          <w:rPr>
            <w:rStyle w:val="Hyperlink"/>
            <w:sz w:val="20"/>
            <w:szCs w:val="20"/>
          </w:rPr>
          <w:t xml:space="preserve">https://openid.net/connect/</w:t>
        </w:r>
      </w:hyperlink>
    </w:p>
    <w:p>
      <w:pPr>
        <w:spacing w:after="60" w:line="252"/>
      </w:pPr>
      <w:r>
        <w:rPr>
          <w:color w:val="1F2937"/>
          <w:sz w:val="20"/>
          <w:szCs w:val="20"/>
        </w:rPr>
        <w:t xml:space="preserve">Google Cloud SDK install  —  </w:t>
      </w:r>
      <w:hyperlink w:history="1" r:id="rIdshmexv10ddrhfgmwvkmbi">
        <w:r>
          <w:rPr>
            <w:rStyle w:val="Hyperlink"/>
            <w:sz w:val="20"/>
            <w:szCs w:val="20"/>
          </w:rPr>
          <w:t xml:space="preserve">https://cloud.google.com/sdk/docs/install</w:t>
        </w:r>
      </w:hyperlink>
    </w:p>
    <w:p>
      <w:pPr>
        <w:pBdr>
          <w:bottom w:val="single" w:color="01A982" w:sz="6" w:space="1"/>
        </w:pBdr>
        <w:spacing w:after="120"/>
      </w:pPr>
      <w:r>
        <w:t xml:space="preserve"/>
      </w:r>
    </w:p>
    <w:p>
      <w:pPr>
        <w:spacing w:before="120"/>
        <w:jc w:val="center"/>
      </w:pPr>
      <w:r>
        <w:rPr>
          <w:i/>
          <w:iCs/>
          <w:color w:val="5B6675"/>
          <w:sz w:val="18"/>
          <w:szCs w:val="18"/>
        </w:rPr>
        <w:t xml:space="preserve">Cyber Exposure Governance Platform — an M.Sc. Cyber Security project by Dwaipayan Mojumder and Deblina Das, under the guidance of Prof. Sanjay Pal.</w:t>
      </w:r>
    </w:p>
    <w:sectPr>
      <w:footerReference w:type="default" r:id="rId7"/>
      <w:pgSz w:w="12240" w:h="15840" w:orient="portrait"/>
      <w:pgMar w:top="283" w:right="283" w:bottom="283" w:left="2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Page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1A982" w:sz="8" w:space="4"/>
      </w:pBdr>
      <w:spacing w:after="160" w:before="300"/>
      <w:outlineLvl w:val="0"/>
    </w:pPr>
    <w:rPr>
      <w:rFonts w:ascii="Arial" w:cs="Arial" w:eastAsia="Arial" w:hAnsi="Arial"/>
      <w:b/>
      <w:bCs/>
      <w:color w:val="1531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E50A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vokvmluwc36h28se3fe" Type="http://schemas.openxmlformats.org/officeDocument/2006/relationships/hyperlink" Target="http://localhost:8501" TargetMode="External"/><Relationship Id="rId0bxfjq4mht7hl2qn7xabz" Type="http://schemas.openxmlformats.org/officeDocument/2006/relationships/hyperlink" Target="https://www.cisa.gov/known-exploited-vulnerabilities-catalog" TargetMode="External"/><Relationship Id="rId28r-r2jmiwt0aujn6sg39" Type="http://schemas.openxmlformats.org/officeDocument/2006/relationships/hyperlink" Target="https://www.first.org/epss/" TargetMode="External"/><Relationship Id="rIdtsno5cts4gyrc0webvilk" Type="http://schemas.openxmlformats.org/officeDocument/2006/relationships/hyperlink" Target="https://nvd.nist.gov/" TargetMode="External"/><Relationship Id="rIdmvsacpeq4rbnx4gb76w-4" Type="http://schemas.openxmlformats.org/officeDocument/2006/relationships/hyperlink" Target="https://nvd.nist.gov/developers" TargetMode="External"/><Relationship Id="rIdrwgl8zgtc4igddmloqpqi" Type="http://schemas.openxmlformats.org/officeDocument/2006/relationships/hyperlink" Target="https://www.nist.gov/cyberframework" TargetMode="External"/><Relationship Id="rId7qaowof6ab1ir2ptgztor" Type="http://schemas.openxmlformats.org/officeDocument/2006/relationships/hyperlink" Target="https://www.cisecurity.org/controls" TargetMode="External"/><Relationship Id="rId2b3tkbyuybabgsjoszoaw" Type="http://schemas.openxmlformats.org/officeDocument/2006/relationships/hyperlink" Target="https://attack.mitre.org/" TargetMode="External"/><Relationship Id="rId7wgdreme6sha-dsml8x2k" Type="http://schemas.openxmlformats.org/officeDocument/2006/relationships/hyperlink" Target="https://www.cisa.gov/stakeholder-specific-vulnerability-categorization-ssvc" TargetMode="External"/><Relationship Id="rIdt6t6jffl4qx9rmcxfu4tt" Type="http://schemas.openxmlformats.org/officeDocument/2006/relationships/hyperlink" Target="https://www.misp-project.org/" TargetMode="External"/><Relationship Id="rId8_mqihluujjwz5xybzf04" Type="http://schemas.openxmlformats.org/officeDocument/2006/relationships/hyperlink" Target="https://www.tenable.com" TargetMode="External"/><Relationship Id="rIdpmitf7hxmrawwttrgutgx" Type="http://schemas.openxmlformats.org/officeDocument/2006/relationships/hyperlink" Target="https://www.qualys.com" TargetMode="External"/><Relationship Id="rIdxvcamfomhk7d4k4rdszeu" Type="http://schemas.openxmlformats.org/officeDocument/2006/relationships/hyperlink" Target="https://www.rapid7.com" TargetMode="External"/><Relationship Id="rIdowdllpexcoq1g4oqt5qyg" Type="http://schemas.openxmlformats.org/officeDocument/2006/relationships/hyperlink" Target="https://www.microsoft.com/security" TargetMode="External"/><Relationship Id="rIdyan4lbldndzgbj3iijmfl" Type="http://schemas.openxmlformats.org/officeDocument/2006/relationships/hyperlink" Target="https://nucleussec.com" TargetMode="External"/><Relationship Id="rIdaz3gddb66v3qcozu1e4sl" Type="http://schemas.openxmlformats.org/officeDocument/2006/relationships/hyperlink" Target="https://www.servicenow.com" TargetMode="External"/><Relationship Id="rIduzsfwlhmztocnfz6w81ff" Type="http://schemas.openxmlformats.org/officeDocument/2006/relationships/hyperlink" Target="https://www.atlassian.com/software/jira" TargetMode="External"/><Relationship Id="rIdnjbqbh9axh_pt9qlw-k6v" Type="http://schemas.openxmlformats.org/officeDocument/2006/relationships/hyperlink" Target="https://www.pagerduty.com" TargetMode="External"/><Relationship Id="rIds0k5b433ujt98agyruybz" Type="http://schemas.openxmlformats.org/officeDocument/2006/relationships/hyperlink" Target="https://www.splunk.com" TargetMode="External"/><Relationship Id="rIdawmoyekl7ktmguuai11e8" Type="http://schemas.openxmlformats.org/officeDocument/2006/relationships/hyperlink" Target="https://azure.microsoft.com/products/microsoft-sentinel" TargetMode="External"/><Relationship Id="rIdudccz8jrbz9nitega0qfn" Type="http://schemas.openxmlformats.org/officeDocument/2006/relationships/hyperlink" Target="https://www.elastic.co/security" TargetMode="External"/><Relationship Id="rIdl7dvl4o-58d2fb9hk4kja" Type="http://schemas.openxmlformats.org/officeDocument/2006/relationships/hyperlink" Target="https://suricata.io" TargetMode="External"/><Relationship Id="rIds91zkakmbmj_jm5jvcmfl" Type="http://schemas.openxmlformats.org/officeDocument/2006/relationships/hyperlink" Target="https://streamlit.io" TargetMode="External"/><Relationship Id="rId-zpupvv7icsixd5wt4zpi" Type="http://schemas.openxmlformats.org/officeDocument/2006/relationships/hyperlink" Target="https://docs.streamlit.io" TargetMode="External"/><Relationship Id="rIdr7p019h8w8qu6bgapxh5f" Type="http://schemas.openxmlformats.org/officeDocument/2006/relationships/hyperlink" Target="https://cloud.google.com/run/docs" TargetMode="External"/><Relationship Id="rIdfwxs9vojguf52xy1wkhbq" Type="http://schemas.openxmlformats.org/officeDocument/2006/relationships/hyperlink" Target="https://cloud.google.com/iap/docs" TargetMode="External"/><Relationship Id="rIdifyngkqvq6xhl-0hjhfpv" Type="http://schemas.openxmlformats.org/officeDocument/2006/relationships/hyperlink" Target="https://cloud.google.com/iap/docs/enabling-cloud-run" TargetMode="External"/><Relationship Id="rIdcn_sf-c2h5roaqu7b-sgh" Type="http://schemas.openxmlformats.org/officeDocument/2006/relationships/hyperlink" Target="https://oauth2-proxy.github.io/oauth2-proxy/" TargetMode="External"/><Relationship Id="rIdnbxsnwfdmaqk1ztg-xl8-" Type="http://schemas.openxmlformats.org/officeDocument/2006/relationships/hyperlink" Target="https://openid.net/connect/" TargetMode="External"/><Relationship Id="rIdshmexv10ddrhfgmwvkmbi" Type="http://schemas.openxmlformats.org/officeDocument/2006/relationships/hyperlink" Target="https://cloud.google.com/sdk/docs/install"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2026-06-20T10:57:53.686Z</dcterms:created>
  <dcterms:modified xsi:type="dcterms:W3CDTF">2026-06-20T10:57:53.700Z</dcterms:modified>
</cp:coreProperties>
</file>

<file path=docProps/custom.xml><?xml version="1.0" encoding="utf-8"?>
<Properties xmlns="http://schemas.openxmlformats.org/officeDocument/2006/custom-properties" xmlns:vt="http://schemas.openxmlformats.org/officeDocument/2006/docPropsVTypes"/>
</file>