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03FA4" w:rsidRDefault="00000000">
      <w:pPr>
        <w:spacing w:before="800" w:after="100"/>
        <w:jc w:val="center"/>
      </w:pPr>
      <w:r>
        <w:rPr>
          <w:b/>
          <w:bCs/>
          <w:color w:val="0C447C"/>
          <w:sz w:val="80"/>
          <w:szCs w:val="80"/>
        </w:rPr>
        <w:t>NEXDATALYTIX</w:t>
      </w:r>
    </w:p>
    <w:p w:rsidR="00703FA4" w:rsidRDefault="00000000">
      <w:pPr>
        <w:spacing w:after="80"/>
        <w:jc w:val="center"/>
      </w:pPr>
      <w:r>
        <w:rPr>
          <w:b/>
          <w:bCs/>
          <w:color w:val="0C447C"/>
          <w:sz w:val="44"/>
          <w:szCs w:val="44"/>
        </w:rPr>
        <w:t>PRIVATE LIMITED</w:t>
      </w:r>
    </w:p>
    <w:p w:rsidR="00703FA4" w:rsidRDefault="00000000">
      <w:pPr>
        <w:pBdr>
          <w:bottom w:val="single" w:sz="14" w:space="8" w:color="1D9E75"/>
        </w:pBdr>
        <w:spacing w:after="240"/>
        <w:jc w:val="center"/>
      </w:pPr>
      <w:r>
        <w:rPr>
          <w:sz w:val="22"/>
          <w:szCs w:val="22"/>
        </w:rPr>
        <w:t xml:space="preserve"> </w:t>
      </w:r>
    </w:p>
    <w:p w:rsidR="00703FA4" w:rsidRDefault="00000000">
      <w:pPr>
        <w:spacing w:before="240" w:after="100"/>
        <w:jc w:val="center"/>
      </w:pPr>
      <w:r>
        <w:rPr>
          <w:b/>
          <w:bCs/>
          <w:color w:val="0E7A5B"/>
          <w:sz w:val="26"/>
          <w:szCs w:val="26"/>
        </w:rPr>
        <w:t>Data Research  ·  AI Analytics  ·  IT Services  ·  Global Publishing</w:t>
      </w:r>
    </w:p>
    <w:p w:rsidR="00703FA4" w:rsidRDefault="00000000">
      <w:pPr>
        <w:spacing w:after="80"/>
        <w:jc w:val="center"/>
      </w:pPr>
      <w:r>
        <w:rPr>
          <w:i/>
          <w:iCs/>
          <w:color w:val="555555"/>
          <w:sz w:val="24"/>
          <w:szCs w:val="24"/>
        </w:rPr>
        <w:t>"Next-generation data intelligence. Globally delivered."</w:t>
      </w:r>
    </w:p>
    <w:p w:rsidR="00703FA4" w:rsidRDefault="00703FA4"/>
    <w:p w:rsidR="00703FA4" w:rsidRDefault="00000000">
      <w:pPr>
        <w:spacing w:after="60"/>
        <w:jc w:val="center"/>
      </w:pPr>
      <w:r>
        <w:rPr>
          <w:color w:val="888888"/>
          <w:sz w:val="20"/>
          <w:szCs w:val="20"/>
        </w:rPr>
        <w:t>Registered Office: Chennai, Tamil Nadu, India</w:t>
      </w:r>
    </w:p>
    <w:p w:rsidR="00703FA4" w:rsidRDefault="00000000">
      <w:pPr>
        <w:spacing w:after="60"/>
        <w:jc w:val="center"/>
      </w:pPr>
      <w:r>
        <w:rPr>
          <w:color w:val="0C447C"/>
          <w:sz w:val="20"/>
          <w:szCs w:val="20"/>
        </w:rPr>
        <w:t>www.nexdatalytix.com  |  contact@nexdatalytix.com</w:t>
      </w:r>
    </w:p>
    <w:p w:rsidR="00703FA4" w:rsidRDefault="00000000">
      <w:pPr>
        <w:spacing w:after="60"/>
        <w:jc w:val="center"/>
      </w:pPr>
      <w:r>
        <w:rPr>
          <w:color w:val="888888"/>
          <w:sz w:val="19"/>
          <w:szCs w:val="19"/>
        </w:rPr>
        <w:t>CIN: U72100TN2024PTC000000</w:t>
      </w:r>
    </w:p>
    <w:p w:rsidR="00703FA4" w:rsidRDefault="00000000">
      <w:pPr>
        <w:spacing w:before="60"/>
        <w:jc w:val="center"/>
      </w:pPr>
      <w:r>
        <w:rPr>
          <w:color w:val="888888"/>
          <w:sz w:val="18"/>
          <w:szCs w:val="18"/>
        </w:rPr>
        <w:t>NIC Codes: 62011 | 72100 | 63110 | 73200 | 58290</w:t>
      </w:r>
    </w:p>
    <w:p w:rsidR="00703FA4" w:rsidRDefault="00000000">
      <w:r>
        <w:br w:type="page"/>
      </w:r>
    </w:p>
    <w:p w:rsidR="00703FA4" w:rsidRDefault="00000000">
      <w:pPr>
        <w:pBdr>
          <w:bottom w:val="single" w:sz="10" w:space="6" w:color="1D9E75"/>
        </w:pBdr>
        <w:spacing w:before="400" w:after="140"/>
      </w:pPr>
      <w:r>
        <w:rPr>
          <w:b/>
          <w:bCs/>
          <w:color w:val="0C447C"/>
          <w:sz w:val="32"/>
          <w:szCs w:val="32"/>
        </w:rPr>
        <w:lastRenderedPageBreak/>
        <w:t>1.  Company Overview</w:t>
      </w:r>
    </w:p>
    <w:p w:rsidR="00703FA4" w:rsidRDefault="00703F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03F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Company Name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03FA4" w:rsidRDefault="00000000">
            <w:proofErr w:type="spellStart"/>
            <w:r>
              <w:rPr>
                <w:color w:val="2C2C2C"/>
                <w:sz w:val="20"/>
                <w:szCs w:val="20"/>
              </w:rPr>
              <w:t>NexDatalytix</w:t>
            </w:r>
            <w:proofErr w:type="spellEnd"/>
            <w:r>
              <w:rPr>
                <w:color w:val="2C2C2C"/>
                <w:sz w:val="20"/>
                <w:szCs w:val="20"/>
              </w:rPr>
              <w:t xml:space="preserve"> Global Research Private Limited</w:t>
            </w:r>
          </w:p>
        </w:tc>
      </w:tr>
      <w:tr w:rsidR="00703F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Type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03FA4" w:rsidRDefault="00000000">
            <w:r>
              <w:rPr>
                <w:color w:val="2C2C2C"/>
                <w:sz w:val="20"/>
                <w:szCs w:val="20"/>
              </w:rPr>
              <w:t>Private Limited Company (</w:t>
            </w:r>
            <w:proofErr w:type="spellStart"/>
            <w:r>
              <w:rPr>
                <w:color w:val="2C2C2C"/>
                <w:sz w:val="20"/>
                <w:szCs w:val="20"/>
              </w:rPr>
              <w:t>Pvt.</w:t>
            </w:r>
            <w:proofErr w:type="spellEnd"/>
            <w:r>
              <w:rPr>
                <w:color w:val="2C2C2C"/>
                <w:sz w:val="20"/>
                <w:szCs w:val="20"/>
              </w:rPr>
              <w:t xml:space="preserve"> Ltd.)</w:t>
            </w:r>
          </w:p>
        </w:tc>
      </w:tr>
      <w:tr w:rsidR="00703F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Year of Incorporation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03FA4" w:rsidRDefault="00000000">
            <w:r>
              <w:rPr>
                <w:color w:val="2C2C2C"/>
                <w:sz w:val="20"/>
                <w:szCs w:val="20"/>
              </w:rPr>
              <w:t>2024</w:t>
            </w:r>
          </w:p>
        </w:tc>
      </w:tr>
      <w:tr w:rsidR="00703F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Registered Office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03FA4" w:rsidRDefault="00000000">
            <w:r>
              <w:rPr>
                <w:color w:val="2C2C2C"/>
                <w:sz w:val="20"/>
                <w:szCs w:val="20"/>
              </w:rPr>
              <w:t>Chennai, Tamil Nadu, India</w:t>
            </w:r>
          </w:p>
        </w:tc>
      </w:tr>
      <w:tr w:rsidR="00703F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Primary Industry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03FA4" w:rsidRDefault="00000000">
            <w:r>
              <w:rPr>
                <w:color w:val="2C2C2C"/>
                <w:sz w:val="20"/>
                <w:szCs w:val="20"/>
              </w:rPr>
              <w:t>Information Technology · Data Research · AI Analytics</w:t>
            </w:r>
          </w:p>
        </w:tc>
      </w:tr>
      <w:tr w:rsidR="00703F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NIC Codes (Primary)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03FA4" w:rsidRDefault="00000000">
            <w:r>
              <w:rPr>
                <w:color w:val="2C2C2C"/>
                <w:sz w:val="20"/>
                <w:szCs w:val="20"/>
              </w:rPr>
              <w:t>62011, 72100, 63110, 73200, 58290</w:t>
            </w:r>
          </w:p>
        </w:tc>
      </w:tr>
      <w:tr w:rsidR="00703F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Total NIC Activities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03FA4" w:rsidRDefault="00000000">
            <w:r>
              <w:rPr>
                <w:color w:val="2C2C2C"/>
                <w:sz w:val="20"/>
                <w:szCs w:val="20"/>
              </w:rPr>
              <w:t>19 business activities across IT, Research, Finance, Health &amp; Education</w:t>
            </w:r>
          </w:p>
        </w:tc>
      </w:tr>
      <w:tr w:rsidR="00703F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Website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03FA4" w:rsidRDefault="00000000">
            <w:r>
              <w:rPr>
                <w:color w:val="2C2C2C"/>
                <w:sz w:val="20"/>
                <w:szCs w:val="20"/>
              </w:rPr>
              <w:t>www.nexdatalytix.com</w:t>
            </w:r>
          </w:p>
        </w:tc>
      </w:tr>
      <w:tr w:rsidR="00703F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03FA4" w:rsidRDefault="00000000">
            <w:r>
              <w:rPr>
                <w:color w:val="2C2C2C"/>
                <w:sz w:val="20"/>
                <w:szCs w:val="20"/>
              </w:rPr>
              <w:t>contact@nexdatalytix.com</w:t>
            </w:r>
          </w:p>
        </w:tc>
      </w:tr>
      <w:tr w:rsidR="00703F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Global Markets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03FA4" w:rsidRDefault="00000000">
            <w:r>
              <w:rPr>
                <w:color w:val="2C2C2C"/>
                <w:sz w:val="20"/>
                <w:szCs w:val="20"/>
              </w:rPr>
              <w:t>India · USA · UK · EU · Singapore · Australia · Middle East · Southeast Asia</w:t>
            </w:r>
          </w:p>
        </w:tc>
      </w:tr>
    </w:tbl>
    <w:p w:rsidR="00703FA4" w:rsidRDefault="00703FA4"/>
    <w:p w:rsidR="00703FA4" w:rsidRDefault="00000000">
      <w:pPr>
        <w:spacing w:before="260" w:after="100"/>
      </w:pPr>
      <w:r>
        <w:rPr>
          <w:b/>
          <w:bCs/>
          <w:color w:val="0C447C"/>
          <w:sz w:val="26"/>
          <w:szCs w:val="26"/>
        </w:rPr>
        <w:t xml:space="preserve">About </w:t>
      </w:r>
      <w:proofErr w:type="spellStart"/>
      <w:r>
        <w:rPr>
          <w:b/>
          <w:bCs/>
          <w:color w:val="0C447C"/>
          <w:sz w:val="26"/>
          <w:szCs w:val="26"/>
        </w:rPr>
        <w:t>NexDatalytix</w:t>
      </w:r>
      <w:proofErr w:type="spellEnd"/>
      <w:r>
        <w:rPr>
          <w:b/>
          <w:bCs/>
          <w:color w:val="0C447C"/>
          <w:sz w:val="26"/>
          <w:szCs w:val="26"/>
        </w:rPr>
        <w:t xml:space="preserve"> Global Research</w:t>
      </w:r>
    </w:p>
    <w:p w:rsidR="00703FA4" w:rsidRDefault="00000000">
      <w:pPr>
        <w:spacing w:before="80" w:after="80"/>
        <w:jc w:val="both"/>
      </w:pPr>
      <w:proofErr w:type="spellStart"/>
      <w:r>
        <w:rPr>
          <w:color w:val="2C2C2C"/>
        </w:rPr>
        <w:t>NexDatalytix</w:t>
      </w:r>
      <w:proofErr w:type="spellEnd"/>
      <w:r>
        <w:rPr>
          <w:color w:val="2C2C2C"/>
        </w:rPr>
        <w:t xml:space="preserve"> Global Research Private Limited is a next-generation data intelligence and IT services company headquartered in Chennai, Tamil Nadu, India. The company is built at the convergence of data science, mathematical research, artificial intelligence, and advanced IT services — delivering world-class research, analytics, and technology solutions to clients across industries and geographies worldwide.</w:t>
      </w:r>
    </w:p>
    <w:p w:rsidR="00703FA4" w:rsidRDefault="00703FA4"/>
    <w:p w:rsidR="00703FA4" w:rsidRDefault="00000000">
      <w:pPr>
        <w:spacing w:before="80" w:after="80"/>
        <w:jc w:val="both"/>
      </w:pPr>
      <w:r>
        <w:rPr>
          <w:color w:val="2C2C2C"/>
        </w:rPr>
        <w:t xml:space="preserve">The company's name encodes its core identity: Nex (next-generation), Data (data intelligence at scale), and </w:t>
      </w:r>
      <w:proofErr w:type="spellStart"/>
      <w:r>
        <w:rPr>
          <w:color w:val="2C2C2C"/>
        </w:rPr>
        <w:t>lytix</w:t>
      </w:r>
      <w:proofErr w:type="spellEnd"/>
      <w:r>
        <w:rPr>
          <w:color w:val="2C2C2C"/>
        </w:rPr>
        <w:t xml:space="preserve"> (analytics and metrics) — together signifying a new era of research-driven, AI-powered data services for the global market.</w:t>
      </w:r>
    </w:p>
    <w:p w:rsidR="00703FA4" w:rsidRDefault="00703FA4"/>
    <w:p w:rsidR="00703FA4" w:rsidRDefault="00000000">
      <w:pPr>
        <w:spacing w:before="80" w:after="80"/>
        <w:jc w:val="both"/>
      </w:pPr>
      <w:proofErr w:type="spellStart"/>
      <w:r>
        <w:rPr>
          <w:color w:val="2C2C2C"/>
        </w:rPr>
        <w:t>NexDatalytix</w:t>
      </w:r>
      <w:proofErr w:type="spellEnd"/>
      <w:r>
        <w:rPr>
          <w:color w:val="2C2C2C"/>
        </w:rPr>
        <w:t xml:space="preserve"> serves a diverse portfolio of clients — from multinational enterprises and financial institutions to academic research bodies, government agencies, healthcare organisations, and </w:t>
      </w:r>
      <w:proofErr w:type="spellStart"/>
      <w:r>
        <w:rPr>
          <w:color w:val="2C2C2C"/>
        </w:rPr>
        <w:t>startups</w:t>
      </w:r>
      <w:proofErr w:type="spellEnd"/>
      <w:r>
        <w:rPr>
          <w:color w:val="2C2C2C"/>
        </w:rPr>
        <w:t xml:space="preserve"> — providing end-to-end services across 19 registered business activity domains including data research, IT development, AI analytics, digital publishing, market research, EdTech, health informatics, financial data services, and more.</w:t>
      </w:r>
    </w:p>
    <w:p w:rsidR="00703FA4" w:rsidRDefault="00703FA4"/>
    <w:p w:rsidR="00703FA4" w:rsidRDefault="00000000">
      <w:pPr>
        <w:pBdr>
          <w:bottom w:val="single" w:sz="10" w:space="6" w:color="1D9E75"/>
        </w:pBdr>
        <w:spacing w:before="400" w:after="140"/>
      </w:pPr>
      <w:r>
        <w:rPr>
          <w:b/>
          <w:bCs/>
          <w:color w:val="0C447C"/>
          <w:sz w:val="32"/>
          <w:szCs w:val="32"/>
        </w:rPr>
        <w:t>2.  Vision, Mission &amp; Core Values</w:t>
      </w:r>
    </w:p>
    <w:p w:rsidR="00703FA4" w:rsidRDefault="00703FA4"/>
    <w:p w:rsidR="00703FA4" w:rsidRDefault="00000000">
      <w:pPr>
        <w:spacing w:before="260" w:after="100"/>
      </w:pPr>
      <w:r>
        <w:rPr>
          <w:b/>
          <w:bCs/>
          <w:color w:val="0C447C"/>
          <w:sz w:val="26"/>
          <w:szCs w:val="26"/>
        </w:rPr>
        <w:t>Vision</w:t>
      </w:r>
    </w:p>
    <w:p w:rsidR="00703FA4" w:rsidRDefault="00000000">
      <w:pPr>
        <w:pBdr>
          <w:left w:val="single" w:sz="14" w:space="8" w:color="1D9E75"/>
        </w:pBdr>
        <w:spacing w:before="100" w:after="100"/>
        <w:ind w:left="360"/>
        <w:jc w:val="both"/>
      </w:pPr>
      <w:r>
        <w:rPr>
          <w:i/>
          <w:iCs/>
          <w:color w:val="555555"/>
          <w:sz w:val="23"/>
          <w:szCs w:val="23"/>
        </w:rPr>
        <w:t>To be the world's most trusted next-generation data research and AI analytics company — transforming complex, multi-domain data into clear, actionable intelligence for organisations across every industry and geography.</w:t>
      </w:r>
    </w:p>
    <w:p w:rsidR="00703FA4" w:rsidRDefault="00703FA4"/>
    <w:p w:rsidR="00703FA4" w:rsidRDefault="00000000">
      <w:pPr>
        <w:spacing w:before="260" w:after="100"/>
      </w:pPr>
      <w:r>
        <w:rPr>
          <w:b/>
          <w:bCs/>
          <w:color w:val="0C447C"/>
          <w:sz w:val="26"/>
          <w:szCs w:val="26"/>
        </w:rPr>
        <w:t>Mission</w:t>
      </w:r>
    </w:p>
    <w:p w:rsidR="00703FA4" w:rsidRDefault="00000000">
      <w:pPr>
        <w:pBdr>
          <w:left w:val="single" w:sz="14" w:space="8" w:color="0C447C"/>
        </w:pBdr>
        <w:spacing w:before="100" w:after="100"/>
        <w:ind w:left="360"/>
        <w:jc w:val="both"/>
      </w:pPr>
      <w:r>
        <w:rPr>
          <w:i/>
          <w:iCs/>
          <w:color w:val="555555"/>
          <w:sz w:val="23"/>
          <w:szCs w:val="23"/>
        </w:rPr>
        <w:t>To deliver world-class data research, IT services, and AI-powered analytics built on mathematical rigour, technological excellence, and a deep commitment to global knowledge creation and dissemination — making intelligence accessible, scalable, and impactful.</w:t>
      </w:r>
    </w:p>
    <w:p w:rsidR="00703FA4" w:rsidRDefault="00703FA4"/>
    <w:p w:rsidR="00703FA4" w:rsidRDefault="00000000">
      <w:pPr>
        <w:spacing w:before="260" w:after="100"/>
      </w:pPr>
      <w:r>
        <w:rPr>
          <w:b/>
          <w:bCs/>
          <w:color w:val="0C447C"/>
          <w:sz w:val="26"/>
          <w:szCs w:val="26"/>
        </w:rPr>
        <w:t>Core Value Pillars</w:t>
      </w:r>
    </w:p>
    <w:p w:rsidR="00703FA4" w:rsidRDefault="00703F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03FA4">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0C447C"/>
            <w:tcMar>
              <w:top w:w="100" w:type="dxa"/>
              <w:left w:w="80" w:type="dxa"/>
              <w:bottom w:w="80" w:type="dxa"/>
              <w:right w:w="80" w:type="dxa"/>
            </w:tcMar>
          </w:tcPr>
          <w:p w:rsidR="00703FA4" w:rsidRDefault="00000000">
            <w:pPr>
              <w:jc w:val="center"/>
            </w:pPr>
            <w:r>
              <w:rPr>
                <w:sz w:val="28"/>
                <w:szCs w:val="28"/>
              </w:rPr>
              <w:t>∑</w:t>
            </w:r>
          </w:p>
          <w:p w:rsidR="00703FA4" w:rsidRDefault="00000000">
            <w:pPr>
              <w:spacing w:before="40"/>
              <w:jc w:val="center"/>
            </w:pPr>
            <w:r>
              <w:rPr>
                <w:b/>
                <w:bCs/>
                <w:color w:val="FFFFFF"/>
                <w:sz w:val="20"/>
                <w:szCs w:val="20"/>
              </w:rPr>
              <w:t>Rigour</w:t>
            </w:r>
          </w:p>
        </w:tc>
        <w:tc>
          <w:tcPr>
            <w:tcW w:w="1872" w:type="dxa"/>
            <w:tcBorders>
              <w:top w:val="single" w:sz="1" w:space="0" w:color="CCCCCC"/>
              <w:left w:val="single" w:sz="1" w:space="0" w:color="CCCCCC"/>
              <w:bottom w:val="single" w:sz="1" w:space="0" w:color="CCCCCC"/>
              <w:right w:val="single" w:sz="1" w:space="0" w:color="CCCCCC"/>
            </w:tcBorders>
            <w:shd w:val="clear" w:color="auto" w:fill="0C447C"/>
            <w:tcMar>
              <w:top w:w="100" w:type="dxa"/>
              <w:left w:w="80" w:type="dxa"/>
              <w:bottom w:w="80" w:type="dxa"/>
              <w:right w:w="80" w:type="dxa"/>
            </w:tcMar>
          </w:tcPr>
          <w:p w:rsidR="00703FA4" w:rsidRDefault="00000000">
            <w:pPr>
              <w:jc w:val="center"/>
            </w:pPr>
            <w:r>
              <w:rPr>
                <w:sz w:val="28"/>
                <w:szCs w:val="28"/>
              </w:rPr>
              <w:t>⚡</w:t>
            </w:r>
          </w:p>
          <w:p w:rsidR="00703FA4" w:rsidRDefault="00000000">
            <w:pPr>
              <w:spacing w:before="40"/>
              <w:jc w:val="center"/>
            </w:pPr>
            <w:r>
              <w:rPr>
                <w:b/>
                <w:bCs/>
                <w:color w:val="FFFFFF"/>
                <w:sz w:val="20"/>
                <w:szCs w:val="20"/>
              </w:rPr>
              <w:t>Innovation</w:t>
            </w:r>
          </w:p>
        </w:tc>
        <w:tc>
          <w:tcPr>
            <w:tcW w:w="1872" w:type="dxa"/>
            <w:tcBorders>
              <w:top w:val="single" w:sz="1" w:space="0" w:color="CCCCCC"/>
              <w:left w:val="single" w:sz="1" w:space="0" w:color="CCCCCC"/>
              <w:bottom w:val="single" w:sz="1" w:space="0" w:color="CCCCCC"/>
              <w:right w:val="single" w:sz="1" w:space="0" w:color="CCCCCC"/>
            </w:tcBorders>
            <w:shd w:val="clear" w:color="auto" w:fill="0C447C"/>
            <w:tcMar>
              <w:top w:w="100" w:type="dxa"/>
              <w:left w:w="80" w:type="dxa"/>
              <w:bottom w:w="80" w:type="dxa"/>
              <w:right w:w="80" w:type="dxa"/>
            </w:tcMar>
          </w:tcPr>
          <w:p w:rsidR="00703FA4" w:rsidRDefault="00000000">
            <w:pPr>
              <w:jc w:val="center"/>
            </w:pPr>
            <w:r>
              <w:rPr>
                <w:sz w:val="28"/>
                <w:szCs w:val="28"/>
              </w:rPr>
              <w:t>🌐</w:t>
            </w:r>
          </w:p>
          <w:p w:rsidR="00703FA4" w:rsidRDefault="00000000">
            <w:pPr>
              <w:spacing w:before="40"/>
              <w:jc w:val="center"/>
            </w:pPr>
            <w:r>
              <w:rPr>
                <w:b/>
                <w:bCs/>
                <w:color w:val="FFFFFF"/>
                <w:sz w:val="20"/>
                <w:szCs w:val="20"/>
              </w:rPr>
              <w:t>Global</w:t>
            </w:r>
          </w:p>
        </w:tc>
        <w:tc>
          <w:tcPr>
            <w:tcW w:w="1872" w:type="dxa"/>
            <w:tcBorders>
              <w:top w:val="single" w:sz="1" w:space="0" w:color="CCCCCC"/>
              <w:left w:val="single" w:sz="1" w:space="0" w:color="CCCCCC"/>
              <w:bottom w:val="single" w:sz="1" w:space="0" w:color="CCCCCC"/>
              <w:right w:val="single" w:sz="1" w:space="0" w:color="CCCCCC"/>
            </w:tcBorders>
            <w:shd w:val="clear" w:color="auto" w:fill="0C447C"/>
            <w:tcMar>
              <w:top w:w="100" w:type="dxa"/>
              <w:left w:w="80" w:type="dxa"/>
              <w:bottom w:w="80" w:type="dxa"/>
              <w:right w:w="80" w:type="dxa"/>
            </w:tcMar>
          </w:tcPr>
          <w:p w:rsidR="00703FA4" w:rsidRDefault="00000000">
            <w:pPr>
              <w:jc w:val="center"/>
            </w:pPr>
            <w:r>
              <w:rPr>
                <w:sz w:val="28"/>
                <w:szCs w:val="28"/>
              </w:rPr>
              <w:t>✦</w:t>
            </w:r>
          </w:p>
          <w:p w:rsidR="00703FA4" w:rsidRDefault="00000000">
            <w:pPr>
              <w:spacing w:before="40"/>
              <w:jc w:val="center"/>
            </w:pPr>
            <w:r>
              <w:rPr>
                <w:b/>
                <w:bCs/>
                <w:color w:val="FFFFFF"/>
                <w:sz w:val="20"/>
                <w:szCs w:val="20"/>
              </w:rPr>
              <w:t>Integrity</w:t>
            </w:r>
          </w:p>
        </w:tc>
        <w:tc>
          <w:tcPr>
            <w:tcW w:w="1872" w:type="dxa"/>
            <w:tcBorders>
              <w:top w:val="single" w:sz="1" w:space="0" w:color="CCCCCC"/>
              <w:left w:val="single" w:sz="1" w:space="0" w:color="CCCCCC"/>
              <w:bottom w:val="single" w:sz="1" w:space="0" w:color="CCCCCC"/>
              <w:right w:val="single" w:sz="1" w:space="0" w:color="CCCCCC"/>
            </w:tcBorders>
            <w:shd w:val="clear" w:color="auto" w:fill="0C447C"/>
            <w:tcMar>
              <w:top w:w="100" w:type="dxa"/>
              <w:left w:w="80" w:type="dxa"/>
              <w:bottom w:w="80" w:type="dxa"/>
              <w:right w:w="80" w:type="dxa"/>
            </w:tcMar>
          </w:tcPr>
          <w:p w:rsidR="00703FA4" w:rsidRDefault="00000000">
            <w:pPr>
              <w:jc w:val="center"/>
            </w:pPr>
            <w:r>
              <w:rPr>
                <w:sz w:val="28"/>
                <w:szCs w:val="28"/>
              </w:rPr>
              <w:t>⬆</w:t>
            </w:r>
          </w:p>
          <w:p w:rsidR="00703FA4" w:rsidRDefault="00000000">
            <w:pPr>
              <w:spacing w:before="40"/>
              <w:jc w:val="center"/>
            </w:pPr>
            <w:r>
              <w:rPr>
                <w:b/>
                <w:bCs/>
                <w:color w:val="FFFFFF"/>
                <w:sz w:val="20"/>
                <w:szCs w:val="20"/>
              </w:rPr>
              <w:t>Scale</w:t>
            </w:r>
          </w:p>
        </w:tc>
      </w:tr>
      <w:tr w:rsidR="00703FA4">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5F9"/>
            <w:tcMar>
              <w:top w:w="80" w:type="dxa"/>
              <w:left w:w="80" w:type="dxa"/>
              <w:bottom w:w="80" w:type="dxa"/>
              <w:right w:w="80" w:type="dxa"/>
            </w:tcMar>
          </w:tcPr>
          <w:p w:rsidR="00703FA4" w:rsidRDefault="00000000">
            <w:pPr>
              <w:jc w:val="center"/>
            </w:pPr>
            <w:r>
              <w:rPr>
                <w:color w:val="555555"/>
                <w:sz w:val="18"/>
                <w:szCs w:val="18"/>
              </w:rPr>
              <w:t>Mathematical precision in every dataset and research output</w:t>
            </w:r>
          </w:p>
        </w:tc>
        <w:tc>
          <w:tcPr>
            <w:tcW w:w="1872" w:type="dxa"/>
            <w:tcBorders>
              <w:top w:val="single" w:sz="1" w:space="0" w:color="CCCCCC"/>
              <w:left w:val="single" w:sz="1" w:space="0" w:color="CCCCCC"/>
              <w:bottom w:val="single" w:sz="1" w:space="0" w:color="CCCCCC"/>
              <w:right w:val="single" w:sz="1" w:space="0" w:color="CCCCCC"/>
            </w:tcBorders>
            <w:shd w:val="clear" w:color="auto" w:fill="F2F5F9"/>
            <w:tcMar>
              <w:top w:w="80" w:type="dxa"/>
              <w:left w:w="80" w:type="dxa"/>
              <w:bottom w:w="80" w:type="dxa"/>
              <w:right w:w="80" w:type="dxa"/>
            </w:tcMar>
          </w:tcPr>
          <w:p w:rsidR="00703FA4" w:rsidRDefault="00000000">
            <w:pPr>
              <w:jc w:val="center"/>
            </w:pPr>
            <w:r>
              <w:rPr>
                <w:color w:val="555555"/>
                <w:sz w:val="18"/>
                <w:szCs w:val="18"/>
              </w:rPr>
              <w:t>AI-first thinking embedded in every solution we build</w:t>
            </w:r>
          </w:p>
        </w:tc>
        <w:tc>
          <w:tcPr>
            <w:tcW w:w="1872" w:type="dxa"/>
            <w:tcBorders>
              <w:top w:val="single" w:sz="1" w:space="0" w:color="CCCCCC"/>
              <w:left w:val="single" w:sz="1" w:space="0" w:color="CCCCCC"/>
              <w:bottom w:val="single" w:sz="1" w:space="0" w:color="CCCCCC"/>
              <w:right w:val="single" w:sz="1" w:space="0" w:color="CCCCCC"/>
            </w:tcBorders>
            <w:shd w:val="clear" w:color="auto" w:fill="F2F5F9"/>
            <w:tcMar>
              <w:top w:w="80" w:type="dxa"/>
              <w:left w:w="80" w:type="dxa"/>
              <w:bottom w:w="80" w:type="dxa"/>
              <w:right w:w="80" w:type="dxa"/>
            </w:tcMar>
          </w:tcPr>
          <w:p w:rsidR="00703FA4" w:rsidRDefault="00000000">
            <w:pPr>
              <w:jc w:val="center"/>
            </w:pPr>
            <w:r>
              <w:rPr>
                <w:color w:val="555555"/>
                <w:sz w:val="18"/>
                <w:szCs w:val="18"/>
              </w:rPr>
              <w:t>Research and insights delivered without borders or limits</w:t>
            </w:r>
          </w:p>
        </w:tc>
        <w:tc>
          <w:tcPr>
            <w:tcW w:w="1872" w:type="dxa"/>
            <w:tcBorders>
              <w:top w:val="single" w:sz="1" w:space="0" w:color="CCCCCC"/>
              <w:left w:val="single" w:sz="1" w:space="0" w:color="CCCCCC"/>
              <w:bottom w:val="single" w:sz="1" w:space="0" w:color="CCCCCC"/>
              <w:right w:val="single" w:sz="1" w:space="0" w:color="CCCCCC"/>
            </w:tcBorders>
            <w:shd w:val="clear" w:color="auto" w:fill="F2F5F9"/>
            <w:tcMar>
              <w:top w:w="80" w:type="dxa"/>
              <w:left w:w="80" w:type="dxa"/>
              <w:bottom w:w="80" w:type="dxa"/>
              <w:right w:w="80" w:type="dxa"/>
            </w:tcMar>
          </w:tcPr>
          <w:p w:rsidR="00703FA4" w:rsidRDefault="00000000">
            <w:pPr>
              <w:jc w:val="center"/>
            </w:pPr>
            <w:r>
              <w:rPr>
                <w:color w:val="555555"/>
                <w:sz w:val="18"/>
                <w:szCs w:val="18"/>
              </w:rPr>
              <w:t>Transparent, ethical, and governance-first data practices</w:t>
            </w:r>
          </w:p>
        </w:tc>
        <w:tc>
          <w:tcPr>
            <w:tcW w:w="1872" w:type="dxa"/>
            <w:tcBorders>
              <w:top w:val="single" w:sz="1" w:space="0" w:color="CCCCCC"/>
              <w:left w:val="single" w:sz="1" w:space="0" w:color="CCCCCC"/>
              <w:bottom w:val="single" w:sz="1" w:space="0" w:color="CCCCCC"/>
              <w:right w:val="single" w:sz="1" w:space="0" w:color="CCCCCC"/>
            </w:tcBorders>
            <w:shd w:val="clear" w:color="auto" w:fill="F2F5F9"/>
            <w:tcMar>
              <w:top w:w="80" w:type="dxa"/>
              <w:left w:w="80" w:type="dxa"/>
              <w:bottom w:w="80" w:type="dxa"/>
              <w:right w:w="80" w:type="dxa"/>
            </w:tcMar>
          </w:tcPr>
          <w:p w:rsidR="00703FA4" w:rsidRDefault="00000000">
            <w:pPr>
              <w:jc w:val="center"/>
            </w:pPr>
            <w:r>
              <w:rPr>
                <w:color w:val="555555"/>
                <w:sz w:val="18"/>
                <w:szCs w:val="18"/>
              </w:rPr>
              <w:t xml:space="preserve">Solutions designed to grow from </w:t>
            </w:r>
            <w:proofErr w:type="spellStart"/>
            <w:r>
              <w:rPr>
                <w:color w:val="555555"/>
                <w:sz w:val="18"/>
                <w:szCs w:val="18"/>
              </w:rPr>
              <w:t>startup</w:t>
            </w:r>
            <w:proofErr w:type="spellEnd"/>
            <w:r>
              <w:rPr>
                <w:color w:val="555555"/>
                <w:sz w:val="18"/>
                <w:szCs w:val="18"/>
              </w:rPr>
              <w:t xml:space="preserve"> to enterprise</w:t>
            </w:r>
          </w:p>
        </w:tc>
      </w:tr>
    </w:tbl>
    <w:p w:rsidR="00703FA4" w:rsidRDefault="00703FA4"/>
    <w:p w:rsidR="00703FA4" w:rsidRDefault="00000000">
      <w:r>
        <w:br w:type="page"/>
      </w:r>
    </w:p>
    <w:p w:rsidR="00703FA4" w:rsidRDefault="00000000">
      <w:pPr>
        <w:pBdr>
          <w:bottom w:val="single" w:sz="10" w:space="6" w:color="1D9E75"/>
        </w:pBdr>
        <w:spacing w:before="400" w:after="140"/>
      </w:pPr>
      <w:r>
        <w:rPr>
          <w:b/>
          <w:bCs/>
          <w:color w:val="0C447C"/>
          <w:sz w:val="32"/>
          <w:szCs w:val="32"/>
        </w:rPr>
        <w:lastRenderedPageBreak/>
        <w:t>3.  Business Activities &amp; NIC Classification</w:t>
      </w:r>
    </w:p>
    <w:p w:rsidR="00703FA4" w:rsidRDefault="00703FA4"/>
    <w:p w:rsidR="00703FA4" w:rsidRDefault="00000000">
      <w:pPr>
        <w:spacing w:before="80" w:after="80"/>
        <w:jc w:val="both"/>
      </w:pPr>
      <w:proofErr w:type="spellStart"/>
      <w:r>
        <w:rPr>
          <w:color w:val="2C2C2C"/>
        </w:rPr>
        <w:t>NexDatalytix</w:t>
      </w:r>
      <w:proofErr w:type="spellEnd"/>
      <w:r>
        <w:rPr>
          <w:color w:val="2C2C2C"/>
        </w:rPr>
        <w:t xml:space="preserve"> Global Research operates across 19 registered business activities spanning six NIC sections — Information Technology (J), Finance (K), Professional &amp; Scientific (M), Administrative Support (N), Education (P), and Health (Q). This breadth of registration ensures the company can serve any industry with data, research, analytics, or technology needs.</w:t>
      </w:r>
    </w:p>
    <w:p w:rsidR="00703FA4" w:rsidRDefault="00703F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200"/>
        <w:gridCol w:w="5280"/>
        <w:gridCol w:w="2400"/>
      </w:tblGrid>
      <w:tr w:rsidR="00703FA4">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0C447C"/>
            <w:tcMar>
              <w:top w:w="80" w:type="dxa"/>
              <w:left w:w="120" w:type="dxa"/>
              <w:bottom w:w="80" w:type="dxa"/>
              <w:right w:w="120" w:type="dxa"/>
            </w:tcMar>
          </w:tcPr>
          <w:p w:rsidR="00703FA4" w:rsidRDefault="00000000">
            <w:r>
              <w:rPr>
                <w:b/>
                <w:bCs/>
                <w:color w:val="FFFFFF"/>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0C447C"/>
            <w:tcMar>
              <w:top w:w="80" w:type="dxa"/>
              <w:left w:w="120" w:type="dxa"/>
              <w:bottom w:w="80" w:type="dxa"/>
              <w:right w:w="120" w:type="dxa"/>
            </w:tcMar>
          </w:tcPr>
          <w:p w:rsidR="00703FA4" w:rsidRDefault="00000000">
            <w:r>
              <w:rPr>
                <w:b/>
                <w:bCs/>
                <w:color w:val="FFFFFF"/>
                <w:sz w:val="20"/>
                <w:szCs w:val="20"/>
              </w:rPr>
              <w:t>NIC Code</w:t>
            </w:r>
          </w:p>
        </w:tc>
        <w:tc>
          <w:tcPr>
            <w:tcW w:w="5280" w:type="dxa"/>
            <w:tcBorders>
              <w:top w:val="single" w:sz="1" w:space="0" w:color="CCCCCC"/>
              <w:left w:val="single" w:sz="1" w:space="0" w:color="CCCCCC"/>
              <w:bottom w:val="single" w:sz="1" w:space="0" w:color="CCCCCC"/>
              <w:right w:val="single" w:sz="1" w:space="0" w:color="CCCCCC"/>
            </w:tcBorders>
            <w:shd w:val="clear" w:color="auto" w:fill="0C447C"/>
            <w:tcMar>
              <w:top w:w="80" w:type="dxa"/>
              <w:left w:w="120" w:type="dxa"/>
              <w:bottom w:w="80" w:type="dxa"/>
              <w:right w:w="120" w:type="dxa"/>
            </w:tcMar>
          </w:tcPr>
          <w:p w:rsidR="00703FA4" w:rsidRDefault="00000000">
            <w:r>
              <w:rPr>
                <w:b/>
                <w:bCs/>
                <w:color w:val="FFFFFF"/>
                <w:sz w:val="20"/>
                <w:szCs w:val="20"/>
              </w:rPr>
              <w:t>Business Activity</w:t>
            </w:r>
          </w:p>
        </w:tc>
        <w:tc>
          <w:tcPr>
            <w:tcW w:w="2400" w:type="dxa"/>
            <w:tcBorders>
              <w:top w:val="single" w:sz="1" w:space="0" w:color="CCCCCC"/>
              <w:left w:val="single" w:sz="1" w:space="0" w:color="CCCCCC"/>
              <w:bottom w:val="single" w:sz="1" w:space="0" w:color="CCCCCC"/>
              <w:right w:val="single" w:sz="1" w:space="0" w:color="CCCCCC"/>
            </w:tcBorders>
            <w:shd w:val="clear" w:color="auto" w:fill="0C447C"/>
            <w:tcMar>
              <w:top w:w="80" w:type="dxa"/>
              <w:left w:w="120" w:type="dxa"/>
              <w:bottom w:w="80" w:type="dxa"/>
              <w:right w:w="120" w:type="dxa"/>
            </w:tcMar>
          </w:tcPr>
          <w:p w:rsidR="00703FA4" w:rsidRDefault="00000000">
            <w:r>
              <w:rPr>
                <w:b/>
                <w:bCs/>
                <w:color w:val="FFFFFF"/>
                <w:sz w:val="20"/>
                <w:szCs w:val="20"/>
              </w:rPr>
              <w:t>Section</w:t>
            </w:r>
          </w:p>
        </w:tc>
      </w:tr>
      <w:tr w:rsidR="00703FA4">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62011</w:t>
            </w:r>
          </w:p>
        </w:tc>
        <w:tc>
          <w:tcPr>
            <w:tcW w:w="52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Information Technology &amp; Software Services</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Section J</w:t>
            </w:r>
          </w:p>
        </w:tc>
      </w:tr>
      <w:tr w:rsidR="00703FA4">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62090</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Other IT &amp; Computer Service Activities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Section J</w:t>
            </w:r>
          </w:p>
        </w:tc>
      </w:tr>
      <w:tr w:rsidR="00703FA4">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63120</w:t>
            </w:r>
          </w:p>
        </w:tc>
        <w:tc>
          <w:tcPr>
            <w:tcW w:w="52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Web Portals &amp; App Development</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Section J</w:t>
            </w:r>
          </w:p>
        </w:tc>
      </w:tr>
      <w:tr w:rsidR="00703FA4">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63110</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General Data Collection &amp; Publishing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Section J</w:t>
            </w:r>
          </w:p>
        </w:tc>
      </w:tr>
      <w:tr w:rsidR="00703FA4">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73200</w:t>
            </w:r>
          </w:p>
        </w:tc>
        <w:tc>
          <w:tcPr>
            <w:tcW w:w="52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Market Research &amp; Public Opinion Polling</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Section M</w:t>
            </w:r>
          </w:p>
        </w:tc>
      </w:tr>
      <w:tr w:rsidR="00703FA4">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70200</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Market Research &amp; Business Consultancy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Section M</w:t>
            </w:r>
          </w:p>
        </w:tc>
      </w:tr>
      <w:tr w:rsidR="00703FA4">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58190</w:t>
            </w:r>
          </w:p>
        </w:tc>
        <w:tc>
          <w:tcPr>
            <w:tcW w:w="52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Digital Media &amp; Publishing</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Section J</w:t>
            </w:r>
          </w:p>
        </w:tc>
      </w:tr>
      <w:tr w:rsidR="00703FA4">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66190</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Insurance &amp; Finance Services (Auxiliary)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Section K</w:t>
            </w:r>
          </w:p>
        </w:tc>
      </w:tr>
      <w:tr w:rsidR="00703FA4">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72100</w:t>
            </w:r>
          </w:p>
        </w:tc>
        <w:tc>
          <w:tcPr>
            <w:tcW w:w="52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Scientific &amp; Technical Research (R&amp;D)</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Section M</w:t>
            </w:r>
          </w:p>
        </w:tc>
      </w:tr>
      <w:tr w:rsidR="00703FA4">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62020</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Computer Consultancy &amp; IT Facilities Management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Section J</w:t>
            </w:r>
          </w:p>
        </w:tc>
      </w:tr>
      <w:tr w:rsidR="00703FA4">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11</w:t>
            </w:r>
          </w:p>
        </w:tc>
        <w:tc>
          <w:tcPr>
            <w:tcW w:w="12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58290</w:t>
            </w:r>
          </w:p>
        </w:tc>
        <w:tc>
          <w:tcPr>
            <w:tcW w:w="52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Software Publishing &amp; Licensing</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Section J</w:t>
            </w:r>
          </w:p>
        </w:tc>
      </w:tr>
      <w:tr w:rsidR="00703FA4">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74909</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Other Professional &amp; Scientific Activities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Section M</w:t>
            </w:r>
          </w:p>
        </w:tc>
      </w:tr>
      <w:tr w:rsidR="00703FA4">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85300</w:t>
            </w:r>
          </w:p>
        </w:tc>
        <w:tc>
          <w:tcPr>
            <w:tcW w:w="52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Technical &amp; Vocational Training / EdTech / Education</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Section P</w:t>
            </w:r>
          </w:p>
        </w:tc>
      </w:tr>
      <w:tr w:rsidR="00703FA4">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63910</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News Agency &amp; Content Syndication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Section J</w:t>
            </w:r>
          </w:p>
        </w:tc>
      </w:tr>
      <w:tr w:rsidR="00703FA4">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74100</w:t>
            </w:r>
          </w:p>
        </w:tc>
        <w:tc>
          <w:tcPr>
            <w:tcW w:w="52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Specialised Design &amp; UI/UX Services</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Section M</w:t>
            </w:r>
          </w:p>
        </w:tc>
      </w:tr>
      <w:tr w:rsidR="00703FA4">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16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61900</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Other Telecommunications Activities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Section J</w:t>
            </w:r>
          </w:p>
        </w:tc>
      </w:tr>
      <w:tr w:rsidR="00703FA4">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17</w:t>
            </w:r>
          </w:p>
        </w:tc>
        <w:tc>
          <w:tcPr>
            <w:tcW w:w="12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66110</w:t>
            </w:r>
          </w:p>
        </w:tc>
        <w:tc>
          <w:tcPr>
            <w:tcW w:w="52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Financial Market Administration &amp; Data</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Section K</w:t>
            </w:r>
          </w:p>
        </w:tc>
      </w:tr>
      <w:tr w:rsidR="00703FA4">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86909</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Health Data &amp; Medical Informatics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Section Q</w:t>
            </w:r>
          </w:p>
        </w:tc>
      </w:tr>
      <w:tr w:rsidR="00703FA4">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19</w:t>
            </w:r>
          </w:p>
        </w:tc>
        <w:tc>
          <w:tcPr>
            <w:tcW w:w="12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82990</w:t>
            </w:r>
          </w:p>
        </w:tc>
        <w:tc>
          <w:tcPr>
            <w:tcW w:w="52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Other Business Support Services</w:t>
            </w:r>
          </w:p>
        </w:tc>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Section N</w:t>
            </w:r>
          </w:p>
        </w:tc>
      </w:tr>
    </w:tbl>
    <w:p w:rsidR="00703FA4" w:rsidRDefault="00703FA4"/>
    <w:p w:rsidR="00703FA4" w:rsidRDefault="00000000">
      <w:pPr>
        <w:pBdr>
          <w:bottom w:val="single" w:sz="10" w:space="6" w:color="1D9E75"/>
        </w:pBdr>
        <w:spacing w:before="400" w:after="140"/>
      </w:pPr>
      <w:r>
        <w:rPr>
          <w:b/>
          <w:bCs/>
          <w:color w:val="0C447C"/>
          <w:sz w:val="32"/>
          <w:szCs w:val="32"/>
        </w:rPr>
        <w:t>4.  Core Service Offerings</w:t>
      </w:r>
    </w:p>
    <w:p w:rsidR="00703FA4" w:rsidRDefault="00703FA4"/>
    <w:p w:rsidR="00703FA4" w:rsidRDefault="00000000">
      <w:pPr>
        <w:spacing w:before="260" w:after="100"/>
      </w:pPr>
      <w:r>
        <w:rPr>
          <w:b/>
          <w:bCs/>
          <w:color w:val="0C447C"/>
          <w:sz w:val="26"/>
          <w:szCs w:val="26"/>
        </w:rPr>
        <w:t>4.1  Data Research &amp; Statistical Publishing</w:t>
      </w:r>
    </w:p>
    <w:p w:rsidR="00703FA4" w:rsidRDefault="00000000">
      <w:pPr>
        <w:spacing w:before="80" w:after="80"/>
        <w:jc w:val="both"/>
      </w:pPr>
      <w:r>
        <w:rPr>
          <w:color w:val="2C2C2C"/>
        </w:rPr>
        <w:t xml:space="preserve">End-to-end quantitative and qualitative research design, data collection, statistical modelling, and global publication of findings across all major industries. </w:t>
      </w:r>
      <w:proofErr w:type="spellStart"/>
      <w:r>
        <w:rPr>
          <w:color w:val="2C2C2C"/>
        </w:rPr>
        <w:t>NexDatalytix</w:t>
      </w:r>
      <w:proofErr w:type="spellEnd"/>
      <w:r>
        <w:rPr>
          <w:color w:val="2C2C2C"/>
        </w:rPr>
        <w:t xml:space="preserve"> produces peer-reviewed </w:t>
      </w:r>
      <w:r>
        <w:rPr>
          <w:color w:val="2C2C2C"/>
        </w:rPr>
        <w:lastRenderedPageBreak/>
        <w:t>research, industry white papers, statistical datasets, and data products distributed through digital platforms, APIs, and global publishing networks.</w:t>
      </w:r>
    </w:p>
    <w:p w:rsidR="00703FA4" w:rsidRDefault="00703FA4"/>
    <w:p w:rsidR="00703FA4" w:rsidRDefault="00000000">
      <w:pPr>
        <w:spacing w:before="260" w:after="100"/>
      </w:pPr>
      <w:r>
        <w:rPr>
          <w:b/>
          <w:bCs/>
          <w:color w:val="0C447C"/>
          <w:sz w:val="26"/>
          <w:szCs w:val="26"/>
        </w:rPr>
        <w:t>4.2  Artificial Intelligence &amp; Machine Learning Analytics</w:t>
      </w:r>
    </w:p>
    <w:p w:rsidR="00703FA4" w:rsidRDefault="00000000">
      <w:pPr>
        <w:spacing w:before="80" w:after="80"/>
        <w:jc w:val="both"/>
      </w:pPr>
      <w:r>
        <w:rPr>
          <w:color w:val="2C2C2C"/>
        </w:rPr>
        <w:t>Development and deployment of AI-powered solutions including predictive analytics, natural language processing, computer vision, deep learning models, and intelligent automation systems. The company builds custom ML pipelines, AI-integrated products, and data intelligence platforms for enterprise, academic, and government clients.</w:t>
      </w:r>
    </w:p>
    <w:p w:rsidR="00703FA4" w:rsidRDefault="00703FA4"/>
    <w:p w:rsidR="00703FA4" w:rsidRDefault="00000000">
      <w:pPr>
        <w:spacing w:before="260" w:after="100"/>
      </w:pPr>
      <w:r>
        <w:rPr>
          <w:b/>
          <w:bCs/>
          <w:color w:val="0C447C"/>
          <w:sz w:val="26"/>
          <w:szCs w:val="26"/>
        </w:rPr>
        <w:t>4.3  IT Services, App Development &amp; Cloud Solutions</w:t>
      </w:r>
    </w:p>
    <w:p w:rsidR="00703FA4" w:rsidRDefault="00000000">
      <w:pPr>
        <w:spacing w:before="80" w:after="80"/>
        <w:jc w:val="both"/>
      </w:pPr>
      <w:r>
        <w:rPr>
          <w:color w:val="2C2C2C"/>
        </w:rPr>
        <w:t>Full-stack technology services covering mobile app development (iOS/Android), web application development, enterprise software systems, cloud architecture, API design, system integration, database management, and IT infrastructure consulting. Delivered for clients in India and globally using modern, cloud-native technology stacks.</w:t>
      </w:r>
    </w:p>
    <w:p w:rsidR="00703FA4" w:rsidRDefault="00703FA4"/>
    <w:p w:rsidR="00703FA4" w:rsidRDefault="00000000">
      <w:pPr>
        <w:spacing w:before="260" w:after="100"/>
      </w:pPr>
      <w:r>
        <w:rPr>
          <w:b/>
          <w:bCs/>
          <w:color w:val="0C447C"/>
          <w:sz w:val="26"/>
          <w:szCs w:val="26"/>
        </w:rPr>
        <w:t>4.4  Market Research &amp; Business Consultancy</w:t>
      </w:r>
    </w:p>
    <w:p w:rsidR="00703FA4" w:rsidRDefault="00000000">
      <w:pPr>
        <w:spacing w:before="80" w:after="80"/>
        <w:jc w:val="both"/>
      </w:pPr>
      <w:r>
        <w:rPr>
          <w:color w:val="2C2C2C"/>
        </w:rPr>
        <w:t xml:space="preserve">Primary and secondary market research, consumer behaviour studies, public opinion polling, competitive intelligence, industry analysis, and business strategy advisory services. </w:t>
      </w:r>
      <w:proofErr w:type="spellStart"/>
      <w:r>
        <w:rPr>
          <w:color w:val="2C2C2C"/>
        </w:rPr>
        <w:t>NexDatalytix</w:t>
      </w:r>
      <w:proofErr w:type="spellEnd"/>
      <w:r>
        <w:rPr>
          <w:color w:val="2C2C2C"/>
        </w:rPr>
        <w:t xml:space="preserve"> provides evidence-based consulting to help organisations make faster, smarter, and more confident decisions.</w:t>
      </w:r>
    </w:p>
    <w:p w:rsidR="00703FA4" w:rsidRDefault="00703FA4"/>
    <w:p w:rsidR="00703FA4" w:rsidRDefault="00000000">
      <w:pPr>
        <w:spacing w:before="260" w:after="100"/>
      </w:pPr>
      <w:r>
        <w:rPr>
          <w:b/>
          <w:bCs/>
          <w:color w:val="0C447C"/>
          <w:sz w:val="26"/>
          <w:szCs w:val="26"/>
        </w:rPr>
        <w:t>4.5  Digital Media, Content &amp; Research Publishing</w:t>
      </w:r>
    </w:p>
    <w:p w:rsidR="00703FA4" w:rsidRDefault="00000000">
      <w:pPr>
        <w:spacing w:before="80" w:after="80"/>
        <w:jc w:val="both"/>
      </w:pPr>
      <w:r>
        <w:rPr>
          <w:color w:val="2C2C2C"/>
        </w:rPr>
        <w:t>Digital publishing of data-driven reports, research journals, newsletters, statistical databases, and analytical content. The company operates web portals, content platforms, and syndication networks to distribute knowledge globally — reaching institutional clients, academic publishers, media organisations, and research communities.</w:t>
      </w:r>
    </w:p>
    <w:p w:rsidR="00703FA4" w:rsidRDefault="00703FA4"/>
    <w:p w:rsidR="00703FA4" w:rsidRDefault="00000000">
      <w:pPr>
        <w:spacing w:before="260" w:after="100"/>
      </w:pPr>
      <w:r>
        <w:rPr>
          <w:b/>
          <w:bCs/>
          <w:color w:val="0C447C"/>
          <w:sz w:val="26"/>
          <w:szCs w:val="26"/>
        </w:rPr>
        <w:t>4.6  Financial &amp; Insurance Data Services</w:t>
      </w:r>
    </w:p>
    <w:p w:rsidR="00703FA4" w:rsidRDefault="00000000">
      <w:pPr>
        <w:spacing w:before="80" w:after="80"/>
        <w:jc w:val="both"/>
      </w:pPr>
      <w:r>
        <w:rPr>
          <w:color w:val="2C2C2C"/>
        </w:rPr>
        <w:t xml:space="preserve">Quantitative financial data research, actuarial modelling, risk analytics, investment intelligence, regulatory data compliance services, and insurance data platforms. </w:t>
      </w:r>
      <w:proofErr w:type="spellStart"/>
      <w:r>
        <w:rPr>
          <w:color w:val="2C2C2C"/>
        </w:rPr>
        <w:t>NexDatalytix</w:t>
      </w:r>
      <w:proofErr w:type="spellEnd"/>
      <w:r>
        <w:rPr>
          <w:color w:val="2C2C2C"/>
        </w:rPr>
        <w:t xml:space="preserve"> serves banks, asset managers, insurance companies, and fintech organisations with specialised data and technology solutions.</w:t>
      </w:r>
    </w:p>
    <w:p w:rsidR="00703FA4" w:rsidRDefault="00703FA4"/>
    <w:p w:rsidR="00703FA4" w:rsidRDefault="00000000">
      <w:pPr>
        <w:spacing w:before="260" w:after="100"/>
      </w:pPr>
      <w:r>
        <w:rPr>
          <w:b/>
          <w:bCs/>
          <w:color w:val="0C447C"/>
          <w:sz w:val="26"/>
          <w:szCs w:val="26"/>
        </w:rPr>
        <w:t>4.7  Health Data &amp; Medical Informatics</w:t>
      </w:r>
    </w:p>
    <w:p w:rsidR="00703FA4" w:rsidRDefault="00000000">
      <w:pPr>
        <w:spacing w:before="80" w:after="80"/>
        <w:jc w:val="both"/>
      </w:pPr>
      <w:r>
        <w:rPr>
          <w:color w:val="2C2C2C"/>
        </w:rPr>
        <w:t>Clinical data research, biostatistics, health IT platform development, electronic health record (EHR) analytics, population health data analysis, and medical research data services for healthcare providers, pharmaceutical companies, and public health institutions.</w:t>
      </w:r>
    </w:p>
    <w:p w:rsidR="00703FA4" w:rsidRDefault="00703FA4"/>
    <w:p w:rsidR="00703FA4" w:rsidRDefault="00000000">
      <w:pPr>
        <w:spacing w:before="260" w:after="100"/>
      </w:pPr>
      <w:r>
        <w:rPr>
          <w:b/>
          <w:bCs/>
          <w:color w:val="0C447C"/>
          <w:sz w:val="26"/>
          <w:szCs w:val="26"/>
        </w:rPr>
        <w:t>4.8  Education Technology (EdTech) &amp; Professional Training</w:t>
      </w:r>
    </w:p>
    <w:p w:rsidR="00703FA4" w:rsidRDefault="00000000">
      <w:pPr>
        <w:spacing w:before="80" w:after="80"/>
        <w:jc w:val="both"/>
      </w:pPr>
      <w:r>
        <w:rPr>
          <w:color w:val="2C2C2C"/>
        </w:rPr>
        <w:lastRenderedPageBreak/>
        <w:t xml:space="preserve">Online learning platforms, professional certification programmes, data literacy courses, AI and data science training, and corporate upskilling services. </w:t>
      </w:r>
      <w:proofErr w:type="spellStart"/>
      <w:r>
        <w:rPr>
          <w:color w:val="2C2C2C"/>
        </w:rPr>
        <w:t>NexDatalytix</w:t>
      </w:r>
      <w:proofErr w:type="spellEnd"/>
      <w:r>
        <w:rPr>
          <w:color w:val="2C2C2C"/>
        </w:rPr>
        <w:t xml:space="preserve"> develops and delivers EdTech products for individuals and organisations globally, including workshops, boot camps, and e-learning modules.</w:t>
      </w:r>
    </w:p>
    <w:p w:rsidR="00703FA4" w:rsidRDefault="00703FA4"/>
    <w:p w:rsidR="00703FA4" w:rsidRDefault="00000000">
      <w:r>
        <w:br w:type="page"/>
      </w:r>
    </w:p>
    <w:p w:rsidR="00703FA4" w:rsidRDefault="00000000">
      <w:pPr>
        <w:pBdr>
          <w:bottom w:val="single" w:sz="10" w:space="6" w:color="1D9E75"/>
        </w:pBdr>
        <w:spacing w:before="400" w:after="140"/>
      </w:pPr>
      <w:r>
        <w:rPr>
          <w:b/>
          <w:bCs/>
          <w:color w:val="0C447C"/>
          <w:sz w:val="32"/>
          <w:szCs w:val="32"/>
        </w:rPr>
        <w:lastRenderedPageBreak/>
        <w:t>5.  Technology Capabilities &amp; Research Stack</w:t>
      </w:r>
    </w:p>
    <w:p w:rsidR="00703FA4" w:rsidRDefault="00703FA4"/>
    <w:p w:rsidR="00703FA4" w:rsidRDefault="00000000">
      <w:pPr>
        <w:spacing w:before="260" w:after="100"/>
      </w:pPr>
      <w:r>
        <w:rPr>
          <w:b/>
          <w:bCs/>
          <w:color w:val="0C447C"/>
          <w:sz w:val="26"/>
          <w:szCs w:val="26"/>
        </w:rPr>
        <w:t>Artificial Intelligence &amp; Data Science</w:t>
      </w:r>
    </w:p>
    <w:p w:rsidR="00703FA4" w:rsidRDefault="00000000">
      <w:pPr>
        <w:pStyle w:val="ListParagraph"/>
        <w:numPr>
          <w:ilvl w:val="0"/>
          <w:numId w:val="2"/>
        </w:numPr>
        <w:spacing w:before="60" w:after="60"/>
      </w:pPr>
      <w:r>
        <w:rPr>
          <w:color w:val="2C2C2C"/>
        </w:rPr>
        <w:t xml:space="preserve">Machine Learning &amp; Deep Learning: TensorFlow, </w:t>
      </w:r>
      <w:proofErr w:type="spellStart"/>
      <w:r>
        <w:rPr>
          <w:color w:val="2C2C2C"/>
        </w:rPr>
        <w:t>PyTorch</w:t>
      </w:r>
      <w:proofErr w:type="spellEnd"/>
      <w:r>
        <w:rPr>
          <w:color w:val="2C2C2C"/>
        </w:rPr>
        <w:t xml:space="preserve">, scikit-learn, </w:t>
      </w:r>
      <w:proofErr w:type="spellStart"/>
      <w:r>
        <w:rPr>
          <w:color w:val="2C2C2C"/>
        </w:rPr>
        <w:t>Keras</w:t>
      </w:r>
      <w:proofErr w:type="spellEnd"/>
      <w:r>
        <w:rPr>
          <w:color w:val="2C2C2C"/>
        </w:rPr>
        <w:t xml:space="preserve">, </w:t>
      </w:r>
      <w:proofErr w:type="spellStart"/>
      <w:r>
        <w:rPr>
          <w:color w:val="2C2C2C"/>
        </w:rPr>
        <w:t>XGBoost</w:t>
      </w:r>
      <w:proofErr w:type="spellEnd"/>
    </w:p>
    <w:p w:rsidR="00703FA4" w:rsidRDefault="00000000">
      <w:pPr>
        <w:pStyle w:val="ListParagraph"/>
        <w:numPr>
          <w:ilvl w:val="0"/>
          <w:numId w:val="2"/>
        </w:numPr>
        <w:spacing w:before="60" w:after="60"/>
      </w:pPr>
      <w:r>
        <w:rPr>
          <w:color w:val="2C2C2C"/>
        </w:rPr>
        <w:t xml:space="preserve">Natural Language Processing: Hugging Face Transformers, </w:t>
      </w:r>
      <w:proofErr w:type="spellStart"/>
      <w:r>
        <w:rPr>
          <w:color w:val="2C2C2C"/>
        </w:rPr>
        <w:t>SpaCy</w:t>
      </w:r>
      <w:proofErr w:type="spellEnd"/>
      <w:r>
        <w:rPr>
          <w:color w:val="2C2C2C"/>
        </w:rPr>
        <w:t xml:space="preserve">, NLTK, </w:t>
      </w:r>
      <w:proofErr w:type="spellStart"/>
      <w:r>
        <w:rPr>
          <w:color w:val="2C2C2C"/>
        </w:rPr>
        <w:t>OpenAI</w:t>
      </w:r>
      <w:proofErr w:type="spellEnd"/>
      <w:r>
        <w:rPr>
          <w:color w:val="2C2C2C"/>
        </w:rPr>
        <w:t xml:space="preserve"> APIs</w:t>
      </w:r>
    </w:p>
    <w:p w:rsidR="00703FA4" w:rsidRDefault="00000000">
      <w:pPr>
        <w:pStyle w:val="ListParagraph"/>
        <w:numPr>
          <w:ilvl w:val="0"/>
          <w:numId w:val="2"/>
        </w:numPr>
        <w:spacing w:before="60" w:after="60"/>
      </w:pPr>
      <w:r>
        <w:rPr>
          <w:color w:val="2C2C2C"/>
        </w:rPr>
        <w:t xml:space="preserve">Computer Vision: OpenCV, YOLO, </w:t>
      </w:r>
      <w:proofErr w:type="spellStart"/>
      <w:r>
        <w:rPr>
          <w:color w:val="2C2C2C"/>
        </w:rPr>
        <w:t>ResNet</w:t>
      </w:r>
      <w:proofErr w:type="spellEnd"/>
      <w:r>
        <w:rPr>
          <w:color w:val="2C2C2C"/>
        </w:rPr>
        <w:t>, Vision Transformers</w:t>
      </w:r>
    </w:p>
    <w:p w:rsidR="00703FA4" w:rsidRDefault="00000000">
      <w:pPr>
        <w:pStyle w:val="ListParagraph"/>
        <w:numPr>
          <w:ilvl w:val="0"/>
          <w:numId w:val="2"/>
        </w:numPr>
        <w:spacing w:before="60" w:after="60"/>
      </w:pPr>
      <w:r>
        <w:rPr>
          <w:color w:val="2C2C2C"/>
        </w:rPr>
        <w:t xml:space="preserve">Statistical Tools: R, Python (NumPy, SciPy, Pandas, </w:t>
      </w:r>
      <w:proofErr w:type="spellStart"/>
      <w:r>
        <w:rPr>
          <w:color w:val="2C2C2C"/>
        </w:rPr>
        <w:t>Statsmodels</w:t>
      </w:r>
      <w:proofErr w:type="spellEnd"/>
      <w:r>
        <w:rPr>
          <w:color w:val="2C2C2C"/>
        </w:rPr>
        <w:t>), MATLAB, Mathematica</w:t>
      </w:r>
    </w:p>
    <w:p w:rsidR="00703FA4" w:rsidRDefault="00000000">
      <w:pPr>
        <w:pStyle w:val="ListParagraph"/>
        <w:numPr>
          <w:ilvl w:val="0"/>
          <w:numId w:val="2"/>
        </w:numPr>
        <w:spacing w:before="60" w:after="60"/>
      </w:pPr>
      <w:r>
        <w:rPr>
          <w:color w:val="2C2C2C"/>
        </w:rPr>
        <w:t xml:space="preserve">Data Visualisation: Power BI, Tableau, D3.js, </w:t>
      </w:r>
      <w:proofErr w:type="spellStart"/>
      <w:r>
        <w:rPr>
          <w:color w:val="2C2C2C"/>
        </w:rPr>
        <w:t>Plotly</w:t>
      </w:r>
      <w:proofErr w:type="spellEnd"/>
      <w:r>
        <w:rPr>
          <w:color w:val="2C2C2C"/>
        </w:rPr>
        <w:t>, Matplotlib, Seaborn</w:t>
      </w:r>
    </w:p>
    <w:p w:rsidR="00703FA4" w:rsidRDefault="00703FA4"/>
    <w:p w:rsidR="00703FA4" w:rsidRDefault="00000000">
      <w:pPr>
        <w:spacing w:before="260" w:after="100"/>
      </w:pPr>
      <w:r>
        <w:rPr>
          <w:b/>
          <w:bCs/>
          <w:color w:val="0C447C"/>
          <w:sz w:val="26"/>
          <w:szCs w:val="26"/>
        </w:rPr>
        <w:t>Data Engineering &amp; Cloud Infrastructure</w:t>
      </w:r>
    </w:p>
    <w:p w:rsidR="00703FA4" w:rsidRDefault="00000000">
      <w:pPr>
        <w:pStyle w:val="ListParagraph"/>
        <w:numPr>
          <w:ilvl w:val="0"/>
          <w:numId w:val="2"/>
        </w:numPr>
        <w:spacing w:before="60" w:after="60"/>
      </w:pPr>
      <w:r>
        <w:rPr>
          <w:color w:val="2C2C2C"/>
        </w:rPr>
        <w:t xml:space="preserve">Big Data: Apache Spark, Hadoop, Kafka, </w:t>
      </w:r>
      <w:proofErr w:type="spellStart"/>
      <w:r>
        <w:rPr>
          <w:color w:val="2C2C2C"/>
        </w:rPr>
        <w:t>Flink</w:t>
      </w:r>
      <w:proofErr w:type="spellEnd"/>
      <w:r>
        <w:rPr>
          <w:color w:val="2C2C2C"/>
        </w:rPr>
        <w:t xml:space="preserve">, Airflow, </w:t>
      </w:r>
      <w:proofErr w:type="spellStart"/>
      <w:r>
        <w:rPr>
          <w:color w:val="2C2C2C"/>
        </w:rPr>
        <w:t>dbt</w:t>
      </w:r>
      <w:proofErr w:type="spellEnd"/>
    </w:p>
    <w:p w:rsidR="00703FA4" w:rsidRDefault="00000000">
      <w:pPr>
        <w:pStyle w:val="ListParagraph"/>
        <w:numPr>
          <w:ilvl w:val="0"/>
          <w:numId w:val="2"/>
        </w:numPr>
        <w:spacing w:before="60" w:after="60"/>
      </w:pPr>
      <w:r>
        <w:rPr>
          <w:color w:val="2C2C2C"/>
        </w:rPr>
        <w:t xml:space="preserve">Cloud Platforms: AWS (S3, Redshift, </w:t>
      </w:r>
      <w:proofErr w:type="spellStart"/>
      <w:r>
        <w:rPr>
          <w:color w:val="2C2C2C"/>
        </w:rPr>
        <w:t>SageMaker</w:t>
      </w:r>
      <w:proofErr w:type="spellEnd"/>
      <w:r>
        <w:rPr>
          <w:color w:val="2C2C2C"/>
        </w:rPr>
        <w:t>), Microsoft Azure, Google Cloud Platform</w:t>
      </w:r>
    </w:p>
    <w:p w:rsidR="00703FA4" w:rsidRDefault="00000000">
      <w:pPr>
        <w:pStyle w:val="ListParagraph"/>
        <w:numPr>
          <w:ilvl w:val="0"/>
          <w:numId w:val="2"/>
        </w:numPr>
        <w:spacing w:before="60" w:after="60"/>
      </w:pPr>
      <w:r>
        <w:rPr>
          <w:color w:val="2C2C2C"/>
        </w:rPr>
        <w:t xml:space="preserve">Databases: PostgreSQL, MongoDB, Snowflake, </w:t>
      </w:r>
      <w:proofErr w:type="spellStart"/>
      <w:r>
        <w:rPr>
          <w:color w:val="2C2C2C"/>
        </w:rPr>
        <w:t>BigQuery</w:t>
      </w:r>
      <w:proofErr w:type="spellEnd"/>
      <w:r>
        <w:rPr>
          <w:color w:val="2C2C2C"/>
        </w:rPr>
        <w:t>, Redis, Elasticsearch, MySQL</w:t>
      </w:r>
    </w:p>
    <w:p w:rsidR="00703FA4" w:rsidRDefault="00000000">
      <w:pPr>
        <w:pStyle w:val="ListParagraph"/>
        <w:numPr>
          <w:ilvl w:val="0"/>
          <w:numId w:val="2"/>
        </w:numPr>
        <w:spacing w:before="60" w:after="60"/>
      </w:pPr>
      <w:r>
        <w:rPr>
          <w:color w:val="2C2C2C"/>
        </w:rPr>
        <w:t xml:space="preserve">Data Pipeline &amp; ETL: Apache </w:t>
      </w:r>
      <w:proofErr w:type="spellStart"/>
      <w:r>
        <w:rPr>
          <w:color w:val="2C2C2C"/>
        </w:rPr>
        <w:t>NiFi</w:t>
      </w:r>
      <w:proofErr w:type="spellEnd"/>
      <w:r>
        <w:rPr>
          <w:color w:val="2C2C2C"/>
        </w:rPr>
        <w:t xml:space="preserve">, Talend, </w:t>
      </w:r>
      <w:proofErr w:type="spellStart"/>
      <w:r>
        <w:rPr>
          <w:color w:val="2C2C2C"/>
        </w:rPr>
        <w:t>Fivetran</w:t>
      </w:r>
      <w:proofErr w:type="spellEnd"/>
      <w:r>
        <w:rPr>
          <w:color w:val="2C2C2C"/>
        </w:rPr>
        <w:t>, custom Python pipelines</w:t>
      </w:r>
    </w:p>
    <w:p w:rsidR="00703FA4" w:rsidRDefault="00703FA4"/>
    <w:p w:rsidR="00703FA4" w:rsidRDefault="00000000">
      <w:pPr>
        <w:spacing w:before="260" w:after="100"/>
      </w:pPr>
      <w:r>
        <w:rPr>
          <w:b/>
          <w:bCs/>
          <w:color w:val="0C447C"/>
          <w:sz w:val="26"/>
          <w:szCs w:val="26"/>
        </w:rPr>
        <w:t>Software &amp; App Development</w:t>
      </w:r>
    </w:p>
    <w:p w:rsidR="00703FA4" w:rsidRDefault="00000000">
      <w:pPr>
        <w:pStyle w:val="ListParagraph"/>
        <w:numPr>
          <w:ilvl w:val="0"/>
          <w:numId w:val="2"/>
        </w:numPr>
        <w:spacing w:before="60" w:after="60"/>
      </w:pPr>
      <w:r>
        <w:rPr>
          <w:color w:val="2C2C2C"/>
        </w:rPr>
        <w:t>Mobile: React Native, Flutter, Swift (iOS), Kotlin (Android)</w:t>
      </w:r>
    </w:p>
    <w:p w:rsidR="00703FA4" w:rsidRDefault="00000000">
      <w:pPr>
        <w:pStyle w:val="ListParagraph"/>
        <w:numPr>
          <w:ilvl w:val="0"/>
          <w:numId w:val="2"/>
        </w:numPr>
        <w:spacing w:before="60" w:after="60"/>
      </w:pPr>
      <w:r>
        <w:rPr>
          <w:color w:val="2C2C2C"/>
        </w:rPr>
        <w:t xml:space="preserve">Web: React.js, Next.js, Vue.js, Angular, Node.js, Django, </w:t>
      </w:r>
      <w:proofErr w:type="spellStart"/>
      <w:r>
        <w:rPr>
          <w:color w:val="2C2C2C"/>
        </w:rPr>
        <w:t>FastAPI</w:t>
      </w:r>
      <w:proofErr w:type="spellEnd"/>
    </w:p>
    <w:p w:rsidR="00703FA4" w:rsidRDefault="00000000">
      <w:pPr>
        <w:pStyle w:val="ListParagraph"/>
        <w:numPr>
          <w:ilvl w:val="0"/>
          <w:numId w:val="2"/>
        </w:numPr>
        <w:spacing w:before="60" w:after="60"/>
      </w:pPr>
      <w:r>
        <w:rPr>
          <w:color w:val="2C2C2C"/>
        </w:rPr>
        <w:t>Enterprise: Java Spring Boot, .NET Core, Microservices, Docker, Kubernetes</w:t>
      </w:r>
    </w:p>
    <w:p w:rsidR="00703FA4" w:rsidRDefault="00000000">
      <w:pPr>
        <w:pStyle w:val="ListParagraph"/>
        <w:numPr>
          <w:ilvl w:val="0"/>
          <w:numId w:val="2"/>
        </w:numPr>
        <w:spacing w:before="60" w:after="60"/>
      </w:pPr>
      <w:r>
        <w:rPr>
          <w:color w:val="2C2C2C"/>
        </w:rPr>
        <w:t xml:space="preserve">APIs: RESTful, </w:t>
      </w:r>
      <w:proofErr w:type="spellStart"/>
      <w:r>
        <w:rPr>
          <w:color w:val="2C2C2C"/>
        </w:rPr>
        <w:t>GraphQL</w:t>
      </w:r>
      <w:proofErr w:type="spellEnd"/>
      <w:r>
        <w:rPr>
          <w:color w:val="2C2C2C"/>
        </w:rPr>
        <w:t xml:space="preserve">, </w:t>
      </w:r>
      <w:proofErr w:type="spellStart"/>
      <w:r>
        <w:rPr>
          <w:color w:val="2C2C2C"/>
        </w:rPr>
        <w:t>gRPC</w:t>
      </w:r>
      <w:proofErr w:type="spellEnd"/>
      <w:r>
        <w:rPr>
          <w:color w:val="2C2C2C"/>
        </w:rPr>
        <w:t xml:space="preserve">, WebSocket, </w:t>
      </w:r>
      <w:proofErr w:type="spellStart"/>
      <w:r>
        <w:rPr>
          <w:color w:val="2C2C2C"/>
        </w:rPr>
        <w:t>OpenAPI</w:t>
      </w:r>
      <w:proofErr w:type="spellEnd"/>
      <w:r>
        <w:rPr>
          <w:color w:val="2C2C2C"/>
        </w:rPr>
        <w:t>/Swagger</w:t>
      </w:r>
    </w:p>
    <w:p w:rsidR="00703FA4" w:rsidRDefault="00703FA4"/>
    <w:p w:rsidR="00703FA4" w:rsidRDefault="00000000">
      <w:pPr>
        <w:spacing w:before="260" w:after="100"/>
      </w:pPr>
      <w:r>
        <w:rPr>
          <w:b/>
          <w:bCs/>
          <w:color w:val="0C447C"/>
          <w:sz w:val="26"/>
          <w:szCs w:val="26"/>
        </w:rPr>
        <w:t>Research &amp; Mathematical Capabilities</w:t>
      </w:r>
    </w:p>
    <w:p w:rsidR="00703FA4" w:rsidRDefault="00000000">
      <w:pPr>
        <w:pStyle w:val="ListParagraph"/>
        <w:numPr>
          <w:ilvl w:val="0"/>
          <w:numId w:val="2"/>
        </w:numPr>
        <w:spacing w:before="60" w:after="60"/>
      </w:pPr>
      <w:r>
        <w:rPr>
          <w:color w:val="2C2C2C"/>
        </w:rPr>
        <w:t>Applied Mathematics: stochastic modelling, linear algebra, optimisation, differential equations</w:t>
      </w:r>
    </w:p>
    <w:p w:rsidR="00703FA4" w:rsidRDefault="00000000">
      <w:pPr>
        <w:pStyle w:val="ListParagraph"/>
        <w:numPr>
          <w:ilvl w:val="0"/>
          <w:numId w:val="2"/>
        </w:numPr>
        <w:spacing w:before="60" w:after="60"/>
      </w:pPr>
      <w:r>
        <w:rPr>
          <w:color w:val="2C2C2C"/>
        </w:rPr>
        <w:t>Biostatistics &amp; Epidemiology: survival analysis, clinical trial design, population modelling</w:t>
      </w:r>
    </w:p>
    <w:p w:rsidR="00703FA4" w:rsidRDefault="00000000">
      <w:pPr>
        <w:pStyle w:val="ListParagraph"/>
        <w:numPr>
          <w:ilvl w:val="0"/>
          <w:numId w:val="2"/>
        </w:numPr>
        <w:spacing w:before="60" w:after="60"/>
      </w:pPr>
      <w:r>
        <w:rPr>
          <w:color w:val="2C2C2C"/>
        </w:rPr>
        <w:t>Financial Mathematics: quantitative risk, Monte Carlo simulation, derivative pricing</w:t>
      </w:r>
    </w:p>
    <w:p w:rsidR="00703FA4" w:rsidRDefault="00000000">
      <w:pPr>
        <w:pStyle w:val="ListParagraph"/>
        <w:numPr>
          <w:ilvl w:val="0"/>
          <w:numId w:val="2"/>
        </w:numPr>
        <w:spacing w:before="60" w:after="60"/>
      </w:pPr>
      <w:r>
        <w:rPr>
          <w:color w:val="2C2C2C"/>
        </w:rPr>
        <w:t>Research Methods: primary data collection, systematic review, meta-analysis, mixed-methods</w:t>
      </w:r>
    </w:p>
    <w:p w:rsidR="00703FA4" w:rsidRDefault="00703FA4"/>
    <w:p w:rsidR="00703FA4" w:rsidRDefault="00000000">
      <w:pPr>
        <w:pBdr>
          <w:bottom w:val="single" w:sz="10" w:space="6" w:color="1D9E75"/>
        </w:pBdr>
        <w:spacing w:before="400" w:after="140"/>
      </w:pPr>
      <w:r>
        <w:rPr>
          <w:b/>
          <w:bCs/>
          <w:color w:val="0C447C"/>
          <w:sz w:val="32"/>
          <w:szCs w:val="32"/>
        </w:rPr>
        <w:t>6.  Industry Sectors &amp; Target Markets</w:t>
      </w:r>
    </w:p>
    <w:p w:rsidR="00703FA4" w:rsidRDefault="00703F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03FA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0C447C"/>
            <w:tcMar>
              <w:top w:w="80" w:type="dxa"/>
              <w:left w:w="120" w:type="dxa"/>
              <w:bottom w:w="80" w:type="dxa"/>
              <w:right w:w="120" w:type="dxa"/>
            </w:tcMar>
          </w:tcPr>
          <w:p w:rsidR="00703FA4" w:rsidRDefault="00000000">
            <w:r>
              <w:rPr>
                <w:b/>
                <w:bCs/>
                <w:color w:val="FFFFFF"/>
                <w:sz w:val="20"/>
                <w:szCs w:val="20"/>
              </w:rPr>
              <w:t>Industry Sector</w:t>
            </w:r>
          </w:p>
        </w:tc>
        <w:tc>
          <w:tcPr>
            <w:tcW w:w="5760" w:type="dxa"/>
            <w:tcBorders>
              <w:top w:val="single" w:sz="1" w:space="0" w:color="CCCCCC"/>
              <w:left w:val="single" w:sz="1" w:space="0" w:color="CCCCCC"/>
              <w:bottom w:val="single" w:sz="1" w:space="0" w:color="CCCCCC"/>
              <w:right w:val="single" w:sz="1" w:space="0" w:color="CCCCCC"/>
            </w:tcBorders>
            <w:shd w:val="clear" w:color="auto" w:fill="0C447C"/>
            <w:tcMar>
              <w:top w:w="80" w:type="dxa"/>
              <w:left w:w="120" w:type="dxa"/>
              <w:bottom w:w="80" w:type="dxa"/>
              <w:right w:w="120" w:type="dxa"/>
            </w:tcMar>
          </w:tcPr>
          <w:p w:rsidR="00703FA4" w:rsidRDefault="00000000">
            <w:r>
              <w:rPr>
                <w:b/>
                <w:bCs/>
                <w:color w:val="FFFFFF"/>
                <w:sz w:val="20"/>
                <w:szCs w:val="20"/>
              </w:rPr>
              <w:t>Key Services Delivered</w:t>
            </w:r>
          </w:p>
        </w:tc>
      </w:tr>
      <w:tr w:rsidR="00703FA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Financial Services &amp; FinTech</w:t>
            </w:r>
          </w:p>
        </w:tc>
        <w:tc>
          <w:tcPr>
            <w:tcW w:w="57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Quantitative research, risk analytics, financial data platforms, algorithmic modelling</w:t>
            </w:r>
          </w:p>
        </w:tc>
      </w:tr>
      <w:tr w:rsidR="00703FA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Healthcare &amp; Life Sciences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Clinical data analytics, biostatistics, health IT, medical informatics platforms</w:t>
            </w:r>
          </w:p>
        </w:tc>
      </w:tr>
      <w:tr w:rsidR="00703FA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lastRenderedPageBreak/>
              <w:t>Education &amp; Academic Research</w:t>
            </w:r>
          </w:p>
        </w:tc>
        <w:tc>
          <w:tcPr>
            <w:tcW w:w="57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Research publishing, EdTech platforms, data literacy, e-learning content</w:t>
            </w:r>
          </w:p>
        </w:tc>
      </w:tr>
      <w:tr w:rsidR="00703FA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Government &amp; Public Policy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Statistical reporting, census analytics, policy data, public opinion research</w:t>
            </w:r>
          </w:p>
        </w:tc>
      </w:tr>
      <w:tr w:rsidR="00703FA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Retail &amp; E-Commerce</w:t>
            </w:r>
          </w:p>
        </w:tc>
        <w:tc>
          <w:tcPr>
            <w:tcW w:w="57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Consumer behaviour analytics, demand forecasting, market intelligence, CRM data</w:t>
            </w:r>
          </w:p>
        </w:tc>
      </w:tr>
      <w:tr w:rsidR="00703FA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Manufacturing &amp; Supply Chain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Operational analytics, IoT data intelligence, predictive maintenance, logistics data</w:t>
            </w:r>
          </w:p>
        </w:tc>
      </w:tr>
      <w:tr w:rsidR="00703FA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Telecommunications</w:t>
            </w:r>
          </w:p>
        </w:tc>
        <w:tc>
          <w:tcPr>
            <w:tcW w:w="57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Network data analytics, usage intelligence, churn prediction, spectrum research</w:t>
            </w:r>
          </w:p>
        </w:tc>
      </w:tr>
      <w:tr w:rsidR="00703FA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Insurance &amp; Risk Management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Actuarial data, risk modelling, claims analytics, regulatory compliance data</w:t>
            </w:r>
          </w:p>
        </w:tc>
      </w:tr>
      <w:tr w:rsidR="00703FA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Media &amp; Digital Publishing</w:t>
            </w:r>
          </w:p>
        </w:tc>
        <w:tc>
          <w:tcPr>
            <w:tcW w:w="57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Content analytics, audience intelligence, research syndication, digital media data</w:t>
            </w:r>
          </w:p>
        </w:tc>
      </w:tr>
      <w:tr w:rsidR="00703FA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Smart Cities &amp; Urban Technology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Urban data analytics, IoT integration, infrastructure intelligence, mobility data</w:t>
            </w:r>
          </w:p>
        </w:tc>
      </w:tr>
      <w:tr w:rsidR="00703FA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proofErr w:type="spellStart"/>
            <w:r>
              <w:rPr>
                <w:b/>
                <w:bCs/>
                <w:color w:val="0C447C"/>
                <w:sz w:val="20"/>
                <w:szCs w:val="20"/>
              </w:rPr>
              <w:t>AgriTech</w:t>
            </w:r>
            <w:proofErr w:type="spellEnd"/>
            <w:r>
              <w:rPr>
                <w:b/>
                <w:bCs/>
                <w:color w:val="0C447C"/>
                <w:sz w:val="20"/>
                <w:szCs w:val="20"/>
              </w:rPr>
              <w:t xml:space="preserve"> &amp; Food Sciences</w:t>
            </w:r>
          </w:p>
        </w:tc>
        <w:tc>
          <w:tcPr>
            <w:tcW w:w="57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Agricultural data research, crop analytics, supply chain data, food safety intelligence</w:t>
            </w:r>
          </w:p>
        </w:tc>
      </w:tr>
      <w:tr w:rsidR="00703FA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Energy &amp; Environment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Energy data analytics, sustainability research, ESG data intelligence, climate modelling</w:t>
            </w:r>
          </w:p>
        </w:tc>
      </w:tr>
    </w:tbl>
    <w:p w:rsidR="00703FA4" w:rsidRDefault="00703FA4"/>
    <w:p w:rsidR="00703FA4" w:rsidRDefault="00000000">
      <w:pPr>
        <w:pBdr>
          <w:bottom w:val="single" w:sz="10" w:space="6" w:color="1D9E75"/>
        </w:pBdr>
        <w:spacing w:before="400" w:after="140"/>
      </w:pPr>
      <w:r>
        <w:rPr>
          <w:b/>
          <w:bCs/>
          <w:color w:val="0C447C"/>
          <w:sz w:val="32"/>
          <w:szCs w:val="32"/>
        </w:rPr>
        <w:t>7.  Global Presence &amp; Market Reach</w:t>
      </w:r>
    </w:p>
    <w:p w:rsidR="00703FA4" w:rsidRDefault="00703FA4"/>
    <w:p w:rsidR="00703FA4" w:rsidRDefault="00000000">
      <w:pPr>
        <w:spacing w:before="80" w:after="80"/>
        <w:jc w:val="both"/>
      </w:pPr>
      <w:proofErr w:type="spellStart"/>
      <w:r>
        <w:rPr>
          <w:color w:val="2C2C2C"/>
        </w:rPr>
        <w:t>NexDatalytix</w:t>
      </w:r>
      <w:proofErr w:type="spellEnd"/>
      <w:r>
        <w:rPr>
          <w:color w:val="2C2C2C"/>
        </w:rPr>
        <w:t xml:space="preserve"> Global Research is incorporated in India with its primary operations in Chennai, Tamil Nadu — and delivers data research, IT services, and AI analytics solutions to clients across six continents. The company positions itself as a globally competitive, India-headquartered technology and research partner, combining cost-efficiency with world-class quality standards.</w:t>
      </w:r>
    </w:p>
    <w:p w:rsidR="00703FA4" w:rsidRDefault="00703F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703FA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C447C"/>
            <w:tcMar>
              <w:top w:w="80" w:type="dxa"/>
              <w:left w:w="120" w:type="dxa"/>
              <w:bottom w:w="80" w:type="dxa"/>
              <w:right w:w="120" w:type="dxa"/>
            </w:tcMar>
          </w:tcPr>
          <w:p w:rsidR="00703FA4" w:rsidRDefault="00000000">
            <w:r>
              <w:rPr>
                <w:b/>
                <w:bCs/>
                <w:color w:val="FFFFFF"/>
                <w:sz w:val="20"/>
                <w:szCs w:val="20"/>
              </w:rPr>
              <w:t>Region / Market</w:t>
            </w:r>
          </w:p>
        </w:tc>
        <w:tc>
          <w:tcPr>
            <w:tcW w:w="3480" w:type="dxa"/>
            <w:tcBorders>
              <w:top w:val="single" w:sz="1" w:space="0" w:color="CCCCCC"/>
              <w:left w:val="single" w:sz="1" w:space="0" w:color="CCCCCC"/>
              <w:bottom w:val="single" w:sz="1" w:space="0" w:color="CCCCCC"/>
              <w:right w:val="single" w:sz="1" w:space="0" w:color="CCCCCC"/>
            </w:tcBorders>
            <w:shd w:val="clear" w:color="auto" w:fill="0C447C"/>
            <w:tcMar>
              <w:top w:w="80" w:type="dxa"/>
              <w:left w:w="120" w:type="dxa"/>
              <w:bottom w:w="80" w:type="dxa"/>
              <w:right w:w="120" w:type="dxa"/>
            </w:tcMar>
          </w:tcPr>
          <w:p w:rsidR="00703FA4" w:rsidRDefault="00000000">
            <w:r>
              <w:rPr>
                <w:b/>
                <w:bCs/>
                <w:color w:val="FFFFFF"/>
                <w:sz w:val="20"/>
                <w:szCs w:val="20"/>
              </w:rPr>
              <w:t>Focus Areas</w:t>
            </w:r>
          </w:p>
        </w:tc>
        <w:tc>
          <w:tcPr>
            <w:tcW w:w="3480" w:type="dxa"/>
            <w:tcBorders>
              <w:top w:val="single" w:sz="1" w:space="0" w:color="CCCCCC"/>
              <w:left w:val="single" w:sz="1" w:space="0" w:color="CCCCCC"/>
              <w:bottom w:val="single" w:sz="1" w:space="0" w:color="CCCCCC"/>
              <w:right w:val="single" w:sz="1" w:space="0" w:color="CCCCCC"/>
            </w:tcBorders>
            <w:shd w:val="clear" w:color="auto" w:fill="0C447C"/>
            <w:tcMar>
              <w:top w:w="80" w:type="dxa"/>
              <w:left w:w="120" w:type="dxa"/>
              <w:bottom w:w="80" w:type="dxa"/>
              <w:right w:w="120" w:type="dxa"/>
            </w:tcMar>
          </w:tcPr>
          <w:p w:rsidR="00703FA4" w:rsidRDefault="00000000">
            <w:r>
              <w:rPr>
                <w:b/>
                <w:bCs/>
                <w:color w:val="FFFFFF"/>
                <w:sz w:val="20"/>
                <w:szCs w:val="20"/>
              </w:rPr>
              <w:t>Key Opportunity</w:t>
            </w:r>
          </w:p>
        </w:tc>
      </w:tr>
      <w:tr w:rsidR="00703FA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India</w:t>
            </w:r>
          </w:p>
        </w:tc>
        <w:tc>
          <w:tcPr>
            <w:tcW w:w="34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IT services, data research, EdTech, government data</w:t>
            </w:r>
          </w:p>
        </w:tc>
        <w:tc>
          <w:tcPr>
            <w:tcW w:w="34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Primary base — growing data economy</w:t>
            </w:r>
          </w:p>
        </w:tc>
      </w:tr>
      <w:tr w:rsidR="00703FA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United States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Enterprise AI, financial analytics, research publishing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Largest global AI &amp; data market</w:t>
            </w:r>
          </w:p>
        </w:tc>
      </w:tr>
      <w:tr w:rsidR="00703FA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United Kingdom &amp; EU</w:t>
            </w:r>
          </w:p>
        </w:tc>
        <w:tc>
          <w:tcPr>
            <w:tcW w:w="34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GDPR-compliant data research, academic publishing</w:t>
            </w:r>
          </w:p>
        </w:tc>
        <w:tc>
          <w:tcPr>
            <w:tcW w:w="34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Regulatory-driven data demand</w:t>
            </w:r>
          </w:p>
        </w:tc>
      </w:tr>
      <w:tr w:rsidR="00703FA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Singapore &amp; APAC</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FinTech data, financial analytics, smart city intelligence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APAC data &amp; tech hub</w:t>
            </w:r>
          </w:p>
        </w:tc>
      </w:tr>
      <w:tr w:rsidR="00703FA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Australia</w:t>
            </w:r>
          </w:p>
        </w:tc>
        <w:tc>
          <w:tcPr>
            <w:tcW w:w="34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Research publishing, health data, academic partnerships</w:t>
            </w:r>
          </w:p>
        </w:tc>
        <w:tc>
          <w:tcPr>
            <w:tcW w:w="34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Strong research publishing market</w:t>
            </w:r>
          </w:p>
        </w:tc>
      </w:tr>
      <w:tr w:rsidR="00703FA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lastRenderedPageBreak/>
              <w:t>Middle East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Smart city data, government IT, financial intelligence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High-growth emerging data market</w:t>
            </w:r>
          </w:p>
        </w:tc>
      </w:tr>
      <w:tr w:rsidR="00703FA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Southeast Asia</w:t>
            </w:r>
          </w:p>
        </w:tc>
        <w:tc>
          <w:tcPr>
            <w:tcW w:w="34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EdTech, market research, consumer data analytics</w:t>
            </w:r>
          </w:p>
        </w:tc>
        <w:tc>
          <w:tcPr>
            <w:tcW w:w="34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Fastest-growing digital economy</w:t>
            </w:r>
          </w:p>
        </w:tc>
      </w:tr>
    </w:tbl>
    <w:p w:rsidR="00703FA4" w:rsidRDefault="00703FA4"/>
    <w:p w:rsidR="00703FA4" w:rsidRDefault="00000000">
      <w:r>
        <w:br w:type="page"/>
      </w:r>
    </w:p>
    <w:p w:rsidR="00703FA4" w:rsidRDefault="00000000">
      <w:pPr>
        <w:pBdr>
          <w:bottom w:val="single" w:sz="10" w:space="6" w:color="1D9E75"/>
        </w:pBdr>
        <w:spacing w:before="400" w:after="140"/>
      </w:pPr>
      <w:r>
        <w:rPr>
          <w:b/>
          <w:bCs/>
          <w:color w:val="0C447C"/>
          <w:sz w:val="32"/>
          <w:szCs w:val="32"/>
        </w:rPr>
        <w:lastRenderedPageBreak/>
        <w:t xml:space="preserve">8.  Why </w:t>
      </w:r>
      <w:proofErr w:type="spellStart"/>
      <w:r>
        <w:rPr>
          <w:b/>
          <w:bCs/>
          <w:color w:val="0C447C"/>
          <w:sz w:val="32"/>
          <w:szCs w:val="32"/>
        </w:rPr>
        <w:t>NexDatalytix</w:t>
      </w:r>
      <w:proofErr w:type="spellEnd"/>
      <w:r>
        <w:rPr>
          <w:b/>
          <w:bCs/>
          <w:color w:val="0C447C"/>
          <w:sz w:val="32"/>
          <w:szCs w:val="32"/>
        </w:rPr>
        <w:t xml:space="preserve"> Global Research</w:t>
      </w:r>
    </w:p>
    <w:p w:rsidR="00703FA4" w:rsidRDefault="00703FA4"/>
    <w:p w:rsidR="00703FA4" w:rsidRDefault="00000000">
      <w:pPr>
        <w:spacing w:before="80" w:after="80"/>
        <w:jc w:val="both"/>
      </w:pPr>
      <w:proofErr w:type="spellStart"/>
      <w:r>
        <w:rPr>
          <w:color w:val="2C2C2C"/>
        </w:rPr>
        <w:t>NexDatalytix</w:t>
      </w:r>
      <w:proofErr w:type="spellEnd"/>
      <w:r>
        <w:rPr>
          <w:color w:val="2C2C2C"/>
        </w:rPr>
        <w:t xml:space="preserve"> occupies a rare position in the market — combining the depth of a pure research organisation with the agility and delivery capability of a modern technology company. This dual identity gives clients something most vendors cannot offer: research that is both academically rigorous and commercially deployable.</w:t>
      </w:r>
    </w:p>
    <w:p w:rsidR="00703FA4" w:rsidRDefault="00703F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5400"/>
      </w:tblGrid>
      <w:tr w:rsidR="00703FA4">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0C447C"/>
            <w:tcMar>
              <w:top w:w="80" w:type="dxa"/>
              <w:left w:w="120" w:type="dxa"/>
              <w:bottom w:w="80" w:type="dxa"/>
              <w:right w:w="120" w:type="dxa"/>
            </w:tcMar>
          </w:tcPr>
          <w:p w:rsidR="00703FA4" w:rsidRDefault="00000000">
            <w:r>
              <w:rPr>
                <w:b/>
                <w:bCs/>
                <w:color w:val="FFFFFF"/>
                <w:sz w:val="20"/>
                <w:szCs w:val="20"/>
              </w:rPr>
              <w:t>Differentiator</w:t>
            </w:r>
          </w:p>
        </w:tc>
        <w:tc>
          <w:tcPr>
            <w:tcW w:w="5400" w:type="dxa"/>
            <w:tcBorders>
              <w:top w:val="single" w:sz="1" w:space="0" w:color="CCCCCC"/>
              <w:left w:val="single" w:sz="1" w:space="0" w:color="CCCCCC"/>
              <w:bottom w:val="single" w:sz="1" w:space="0" w:color="CCCCCC"/>
              <w:right w:val="single" w:sz="1" w:space="0" w:color="CCCCCC"/>
            </w:tcBorders>
            <w:shd w:val="clear" w:color="auto" w:fill="0C447C"/>
            <w:tcMar>
              <w:top w:w="80" w:type="dxa"/>
              <w:left w:w="120" w:type="dxa"/>
              <w:bottom w:w="80" w:type="dxa"/>
              <w:right w:w="120" w:type="dxa"/>
            </w:tcMar>
          </w:tcPr>
          <w:p w:rsidR="00703FA4" w:rsidRDefault="00000000">
            <w:r>
              <w:rPr>
                <w:b/>
                <w:bCs/>
                <w:color w:val="FFFFFF"/>
                <w:sz w:val="20"/>
                <w:szCs w:val="20"/>
              </w:rPr>
              <w:t>What This Means for Clients</w:t>
            </w:r>
          </w:p>
        </w:tc>
      </w:tr>
      <w:tr w:rsidR="00703FA4">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19 registered business domains</w:t>
            </w:r>
          </w:p>
        </w:tc>
        <w:tc>
          <w:tcPr>
            <w:tcW w:w="5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Comprehensive, single-partner coverage across all data and IT service needs</w:t>
            </w:r>
          </w:p>
        </w:tc>
      </w:tr>
      <w:tr w:rsidR="00703FA4">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Math-first, AI-native methodology</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Every solution grounded in provable models — not black-box approximations</w:t>
            </w:r>
          </w:p>
        </w:tc>
      </w:tr>
      <w:tr w:rsidR="00703FA4">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Research + technology dual capability</w:t>
            </w:r>
          </w:p>
        </w:tc>
        <w:tc>
          <w:tcPr>
            <w:tcW w:w="5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From raw data hypothesis to deployed AI application, under one roof</w:t>
            </w:r>
          </w:p>
        </w:tc>
      </w:tr>
      <w:tr w:rsidR="00703FA4">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Global publishing infrastructure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Research and insights reach worldwide decision-makers and academic institutions</w:t>
            </w:r>
          </w:p>
        </w:tc>
      </w:tr>
      <w:tr w:rsidR="00703FA4">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Multi-sector expertise</w:t>
            </w:r>
          </w:p>
        </w:tc>
        <w:tc>
          <w:tcPr>
            <w:tcW w:w="5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12+ industry verticals — no sector-specific vendor lock-in for clients</w:t>
            </w:r>
          </w:p>
        </w:tc>
      </w:tr>
      <w:tr w:rsidR="00703FA4">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India-based, globally delivered</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World-class quality at cost-competitive delivery from Chennai</w:t>
            </w:r>
          </w:p>
        </w:tc>
      </w:tr>
      <w:tr w:rsidR="00703FA4">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Ethical data governance</w:t>
            </w:r>
          </w:p>
        </w:tc>
        <w:tc>
          <w:tcPr>
            <w:tcW w:w="54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GDPR-aligned, transparent, and responsible data research practices</w:t>
            </w:r>
          </w:p>
        </w:tc>
      </w:tr>
      <w:tr w:rsidR="00703FA4">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 xml:space="preserve">Scalable from </w:t>
            </w:r>
            <w:proofErr w:type="spellStart"/>
            <w:r>
              <w:rPr>
                <w:b/>
                <w:bCs/>
                <w:color w:val="0C447C"/>
                <w:sz w:val="20"/>
                <w:szCs w:val="20"/>
              </w:rPr>
              <w:t>startup</w:t>
            </w:r>
            <w:proofErr w:type="spellEnd"/>
            <w:r>
              <w:rPr>
                <w:b/>
                <w:bCs/>
                <w:color w:val="0C447C"/>
                <w:sz w:val="20"/>
                <w:szCs w:val="20"/>
              </w:rPr>
              <w:t xml:space="preserve"> to enterprise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Flexible engagement models — from pilot projects to large-scale deployments</w:t>
            </w:r>
          </w:p>
        </w:tc>
      </w:tr>
    </w:tbl>
    <w:p w:rsidR="00703FA4" w:rsidRDefault="00703FA4"/>
    <w:p w:rsidR="00703FA4" w:rsidRDefault="00000000">
      <w:pPr>
        <w:pBdr>
          <w:bottom w:val="single" w:sz="10" w:space="6" w:color="1D9E75"/>
        </w:pBdr>
        <w:spacing w:before="400" w:after="140"/>
      </w:pPr>
      <w:r>
        <w:rPr>
          <w:b/>
          <w:bCs/>
          <w:color w:val="0C447C"/>
          <w:sz w:val="32"/>
          <w:szCs w:val="32"/>
        </w:rPr>
        <w:t>9.  Leadership &amp; Organisational Structure</w:t>
      </w:r>
    </w:p>
    <w:p w:rsidR="00703FA4" w:rsidRDefault="00703FA4"/>
    <w:p w:rsidR="00703FA4" w:rsidRDefault="00000000">
      <w:pPr>
        <w:spacing w:before="80" w:after="80"/>
        <w:jc w:val="both"/>
      </w:pPr>
      <w:proofErr w:type="spellStart"/>
      <w:r>
        <w:rPr>
          <w:color w:val="2C2C2C"/>
        </w:rPr>
        <w:t>NexDatalytix</w:t>
      </w:r>
      <w:proofErr w:type="spellEnd"/>
      <w:r>
        <w:rPr>
          <w:color w:val="2C2C2C"/>
        </w:rPr>
        <w:t xml:space="preserve"> Global Research is led by a multidisciplinary founding team with combined expertise spanning data science, software engineering, applied mathematics, financial analytics, health informatics, and global business development. The company is structured around four delivery divisions — Data &amp; Research, AI &amp; Technology, Global Publishing, and Business Consulting — each led by domain specialists.</w:t>
      </w:r>
    </w:p>
    <w:p w:rsidR="00703FA4" w:rsidRDefault="00703F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20"/>
        <w:gridCol w:w="3840"/>
      </w:tblGrid>
      <w:tr w:rsidR="00703FA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C447C"/>
            <w:tcMar>
              <w:top w:w="80" w:type="dxa"/>
              <w:left w:w="120" w:type="dxa"/>
              <w:bottom w:w="80" w:type="dxa"/>
              <w:right w:w="120" w:type="dxa"/>
            </w:tcMar>
          </w:tcPr>
          <w:p w:rsidR="00703FA4" w:rsidRDefault="00000000">
            <w:r>
              <w:rPr>
                <w:b/>
                <w:bCs/>
                <w:color w:val="FFFFFF"/>
                <w:sz w:val="20"/>
                <w:szCs w:val="20"/>
              </w:rPr>
              <w:t>Role</w:t>
            </w:r>
          </w:p>
        </w:tc>
        <w:tc>
          <w:tcPr>
            <w:tcW w:w="2520" w:type="dxa"/>
            <w:tcBorders>
              <w:top w:val="single" w:sz="1" w:space="0" w:color="CCCCCC"/>
              <w:left w:val="single" w:sz="1" w:space="0" w:color="CCCCCC"/>
              <w:bottom w:val="single" w:sz="1" w:space="0" w:color="CCCCCC"/>
              <w:right w:val="single" w:sz="1" w:space="0" w:color="CCCCCC"/>
            </w:tcBorders>
            <w:shd w:val="clear" w:color="auto" w:fill="0C447C"/>
            <w:tcMar>
              <w:top w:w="80" w:type="dxa"/>
              <w:left w:w="120" w:type="dxa"/>
              <w:bottom w:w="80" w:type="dxa"/>
              <w:right w:w="120" w:type="dxa"/>
            </w:tcMar>
          </w:tcPr>
          <w:p w:rsidR="00703FA4" w:rsidRDefault="00000000">
            <w:r>
              <w:rPr>
                <w:b/>
                <w:bCs/>
                <w:color w:val="FFFFFF"/>
                <w:sz w:val="20"/>
                <w:szCs w:val="20"/>
              </w:rPr>
              <w:t>Domain Expertise</w:t>
            </w:r>
          </w:p>
        </w:tc>
        <w:tc>
          <w:tcPr>
            <w:tcW w:w="3840" w:type="dxa"/>
            <w:tcBorders>
              <w:top w:val="single" w:sz="1" w:space="0" w:color="CCCCCC"/>
              <w:left w:val="single" w:sz="1" w:space="0" w:color="CCCCCC"/>
              <w:bottom w:val="single" w:sz="1" w:space="0" w:color="CCCCCC"/>
              <w:right w:val="single" w:sz="1" w:space="0" w:color="CCCCCC"/>
            </w:tcBorders>
            <w:shd w:val="clear" w:color="auto" w:fill="0C447C"/>
            <w:tcMar>
              <w:top w:w="80" w:type="dxa"/>
              <w:left w:w="120" w:type="dxa"/>
              <w:bottom w:w="80" w:type="dxa"/>
              <w:right w:w="120" w:type="dxa"/>
            </w:tcMar>
          </w:tcPr>
          <w:p w:rsidR="00703FA4" w:rsidRDefault="00000000">
            <w:r>
              <w:rPr>
                <w:b/>
                <w:bCs/>
                <w:color w:val="FFFFFF"/>
                <w:sz w:val="20"/>
                <w:szCs w:val="20"/>
              </w:rPr>
              <w:t>Responsibility</w:t>
            </w:r>
          </w:p>
        </w:tc>
      </w:tr>
      <w:tr w:rsidR="00703FA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Managing Director &amp; CEO</w:t>
            </w:r>
          </w:p>
        </w:tc>
        <w:tc>
          <w:tcPr>
            <w:tcW w:w="252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Strategy &amp; Global Growth</w:t>
            </w:r>
          </w:p>
        </w:tc>
        <w:tc>
          <w:tcPr>
            <w:tcW w:w="384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Company vision, global partnerships, investor relations</w:t>
            </w:r>
          </w:p>
        </w:tc>
      </w:tr>
      <w:tr w:rsidR="00703FA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Chief Technology Officer (CTO)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Software Engineering &amp; Cloud</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AI product development, cloud architecture, IT delivery</w:t>
            </w:r>
          </w:p>
        </w:tc>
      </w:tr>
      <w:tr w:rsidR="00703FA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lastRenderedPageBreak/>
              <w:t>Chief Data Scientist</w:t>
            </w:r>
          </w:p>
        </w:tc>
        <w:tc>
          <w:tcPr>
            <w:tcW w:w="252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Mathematics &amp; Statistics</w:t>
            </w:r>
          </w:p>
        </w:tc>
        <w:tc>
          <w:tcPr>
            <w:tcW w:w="384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Research methodology, ML model design, analytical frameworks</w:t>
            </w:r>
          </w:p>
        </w:tc>
      </w:tr>
      <w:tr w:rsidR="00703FA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Head of Research &amp; Publishing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Academic &amp; Industry Research</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Data publishing, white papers, global research dissemination</w:t>
            </w:r>
          </w:p>
        </w:tc>
      </w:tr>
      <w:tr w:rsidR="00703FA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Head of IT &amp; App Development</w:t>
            </w:r>
          </w:p>
        </w:tc>
        <w:tc>
          <w:tcPr>
            <w:tcW w:w="252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Full-Stack Development</w:t>
            </w:r>
          </w:p>
        </w:tc>
        <w:tc>
          <w:tcPr>
            <w:tcW w:w="384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App development, platform delivery, client technology projects</w:t>
            </w:r>
          </w:p>
        </w:tc>
      </w:tr>
      <w:tr w:rsidR="00703FA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Head of Business Consulting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Market Research &amp; Advisory</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Client consulting, market research delivery, strategy advisory</w:t>
            </w:r>
          </w:p>
        </w:tc>
      </w:tr>
      <w:tr w:rsidR="00703FA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Head of Finance &amp; Health Data</w:t>
            </w:r>
          </w:p>
        </w:tc>
        <w:tc>
          <w:tcPr>
            <w:tcW w:w="252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Financial &amp; Health Informatics</w:t>
            </w:r>
          </w:p>
        </w:tc>
        <w:tc>
          <w:tcPr>
            <w:tcW w:w="384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color w:val="2C2C2C"/>
                <w:sz w:val="20"/>
                <w:szCs w:val="20"/>
              </w:rPr>
              <w:t>Financial data services, actuarial analytics, health IT delivery</w:t>
            </w:r>
          </w:p>
        </w:tc>
      </w:tr>
      <w:tr w:rsidR="00703FA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b/>
                <w:bCs/>
                <w:color w:val="0C447C"/>
                <w:sz w:val="20"/>
                <w:szCs w:val="20"/>
              </w:rPr>
              <w:t>Head of EdTech &amp; Training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Education Technology</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03FA4" w:rsidRDefault="00000000">
            <w:r>
              <w:rPr>
                <w:color w:val="2C2C2C"/>
                <w:sz w:val="20"/>
                <w:szCs w:val="20"/>
              </w:rPr>
              <w:t>Online learning platforms, training programmes, certification</w:t>
            </w:r>
          </w:p>
        </w:tc>
      </w:tr>
    </w:tbl>
    <w:p w:rsidR="00703FA4" w:rsidRDefault="00703FA4"/>
    <w:p w:rsidR="00703FA4" w:rsidRDefault="00000000">
      <w:pPr>
        <w:pBdr>
          <w:bottom w:val="single" w:sz="10" w:space="6" w:color="1D9E75"/>
        </w:pBdr>
        <w:spacing w:before="400" w:after="140"/>
      </w:pPr>
      <w:r>
        <w:rPr>
          <w:b/>
          <w:bCs/>
          <w:color w:val="0C447C"/>
          <w:sz w:val="32"/>
          <w:szCs w:val="32"/>
        </w:rPr>
        <w:t>10.  Compliance, Standards &amp; Certifications</w:t>
      </w:r>
    </w:p>
    <w:p w:rsidR="00703FA4" w:rsidRDefault="00703FA4"/>
    <w:p w:rsidR="00703FA4" w:rsidRDefault="00000000">
      <w:pPr>
        <w:spacing w:before="260" w:after="100"/>
      </w:pPr>
      <w:r>
        <w:rPr>
          <w:b/>
          <w:bCs/>
          <w:color w:val="0C447C"/>
          <w:sz w:val="26"/>
          <w:szCs w:val="26"/>
        </w:rPr>
        <w:t>Regulatory Compliance</w:t>
      </w:r>
    </w:p>
    <w:p w:rsidR="00703FA4" w:rsidRDefault="00000000">
      <w:pPr>
        <w:pStyle w:val="ListParagraph"/>
        <w:numPr>
          <w:ilvl w:val="0"/>
          <w:numId w:val="2"/>
        </w:numPr>
        <w:spacing w:before="60" w:after="60"/>
      </w:pPr>
      <w:r>
        <w:rPr>
          <w:color w:val="2C2C2C"/>
        </w:rPr>
        <w:t>Incorporated under Companies Act, 2013 — Ministry of Corporate Affairs (MCA), India</w:t>
      </w:r>
    </w:p>
    <w:p w:rsidR="00703FA4" w:rsidRDefault="00000000">
      <w:pPr>
        <w:pStyle w:val="ListParagraph"/>
        <w:numPr>
          <w:ilvl w:val="0"/>
          <w:numId w:val="2"/>
        </w:numPr>
        <w:spacing w:before="60" w:after="60"/>
      </w:pPr>
      <w:r>
        <w:rPr>
          <w:color w:val="2C2C2C"/>
        </w:rPr>
        <w:t>GST registered under Goods &amp; Services Tax Act, 2017</w:t>
      </w:r>
    </w:p>
    <w:p w:rsidR="00703FA4" w:rsidRDefault="00000000">
      <w:pPr>
        <w:pStyle w:val="ListParagraph"/>
        <w:numPr>
          <w:ilvl w:val="0"/>
          <w:numId w:val="2"/>
        </w:numPr>
        <w:spacing w:before="60" w:after="60"/>
      </w:pPr>
      <w:r>
        <w:rPr>
          <w:color w:val="2C2C2C"/>
        </w:rPr>
        <w:t>FEMA (Foreign Exchange Management Act) compliant for global service delivery and international payments</w:t>
      </w:r>
    </w:p>
    <w:p w:rsidR="00703FA4" w:rsidRDefault="00000000">
      <w:pPr>
        <w:pStyle w:val="ListParagraph"/>
        <w:numPr>
          <w:ilvl w:val="0"/>
          <w:numId w:val="2"/>
        </w:numPr>
        <w:spacing w:before="60" w:after="60"/>
      </w:pPr>
      <w:r>
        <w:rPr>
          <w:color w:val="2C2C2C"/>
        </w:rPr>
        <w:t>IT Act, 2000 and Data Protection Bill compliant for data processing and IT services</w:t>
      </w:r>
    </w:p>
    <w:p w:rsidR="00703FA4" w:rsidRDefault="00000000">
      <w:pPr>
        <w:pStyle w:val="ListParagraph"/>
        <w:numPr>
          <w:ilvl w:val="0"/>
          <w:numId w:val="2"/>
        </w:numPr>
        <w:spacing w:before="60" w:after="60"/>
      </w:pPr>
      <w:r>
        <w:rPr>
          <w:color w:val="2C2C2C"/>
        </w:rPr>
        <w:t>GDPR-aligned data research and processing practices for EU and UK client engagements</w:t>
      </w:r>
    </w:p>
    <w:p w:rsidR="00703FA4" w:rsidRDefault="00703FA4"/>
    <w:p w:rsidR="00703FA4" w:rsidRDefault="00000000">
      <w:pPr>
        <w:spacing w:before="260" w:after="100"/>
      </w:pPr>
      <w:r>
        <w:rPr>
          <w:b/>
          <w:bCs/>
          <w:color w:val="0C447C"/>
          <w:sz w:val="26"/>
          <w:szCs w:val="26"/>
        </w:rPr>
        <w:t>Target Certifications (Roadmap)</w:t>
      </w:r>
    </w:p>
    <w:p w:rsidR="00703FA4" w:rsidRDefault="00000000">
      <w:pPr>
        <w:pStyle w:val="ListParagraph"/>
        <w:numPr>
          <w:ilvl w:val="0"/>
          <w:numId w:val="2"/>
        </w:numPr>
        <w:spacing w:before="60" w:after="60"/>
      </w:pPr>
      <w:r>
        <w:rPr>
          <w:color w:val="2C2C2C"/>
        </w:rPr>
        <w:t>ISO 27001 — Information Security Management System (ISMS)</w:t>
      </w:r>
    </w:p>
    <w:p w:rsidR="00703FA4" w:rsidRDefault="00000000">
      <w:pPr>
        <w:pStyle w:val="ListParagraph"/>
        <w:numPr>
          <w:ilvl w:val="0"/>
          <w:numId w:val="2"/>
        </w:numPr>
        <w:spacing w:before="60" w:after="60"/>
      </w:pPr>
      <w:r>
        <w:rPr>
          <w:color w:val="2C2C2C"/>
        </w:rPr>
        <w:t>ISO 9001 — Quality Management Systems</w:t>
      </w:r>
    </w:p>
    <w:p w:rsidR="00703FA4" w:rsidRDefault="00000000">
      <w:pPr>
        <w:pStyle w:val="ListParagraph"/>
        <w:numPr>
          <w:ilvl w:val="0"/>
          <w:numId w:val="2"/>
        </w:numPr>
        <w:spacing w:before="60" w:after="60"/>
      </w:pPr>
      <w:r>
        <w:rPr>
          <w:color w:val="2C2C2C"/>
        </w:rPr>
        <w:t>DSIR Recognition — Department of Scientific &amp; Industrial Research (for R&amp;D activities under NIC 72100)</w:t>
      </w:r>
    </w:p>
    <w:p w:rsidR="00703FA4" w:rsidRDefault="00000000">
      <w:pPr>
        <w:pStyle w:val="ListParagraph"/>
        <w:numPr>
          <w:ilvl w:val="0"/>
          <w:numId w:val="2"/>
        </w:numPr>
        <w:spacing w:before="60" w:after="60"/>
      </w:pPr>
      <w:r>
        <w:rPr>
          <w:color w:val="2C2C2C"/>
        </w:rPr>
        <w:t>NASSCOM Membership — National Association of Software and Service Companies</w:t>
      </w:r>
    </w:p>
    <w:p w:rsidR="00703FA4" w:rsidRDefault="00000000">
      <w:pPr>
        <w:pStyle w:val="ListParagraph"/>
        <w:numPr>
          <w:ilvl w:val="0"/>
          <w:numId w:val="2"/>
        </w:numPr>
        <w:spacing w:before="60" w:after="60"/>
      </w:pPr>
      <w:r>
        <w:rPr>
          <w:color w:val="2C2C2C"/>
        </w:rPr>
        <w:t xml:space="preserve">DPIIT </w:t>
      </w:r>
      <w:proofErr w:type="spellStart"/>
      <w:r>
        <w:rPr>
          <w:color w:val="2C2C2C"/>
        </w:rPr>
        <w:t>Startup</w:t>
      </w:r>
      <w:proofErr w:type="spellEnd"/>
      <w:r>
        <w:rPr>
          <w:color w:val="2C2C2C"/>
        </w:rPr>
        <w:t xml:space="preserve"> India Recognition — for tax benefits and government scheme eligibility</w:t>
      </w:r>
    </w:p>
    <w:p w:rsidR="00703FA4" w:rsidRDefault="00703FA4"/>
    <w:p w:rsidR="00703FA4" w:rsidRDefault="00000000">
      <w:pPr>
        <w:pBdr>
          <w:bottom w:val="single" w:sz="10" w:space="6" w:color="1D9E75"/>
        </w:pBdr>
        <w:spacing w:before="400" w:after="140"/>
      </w:pPr>
      <w:r>
        <w:rPr>
          <w:b/>
          <w:bCs/>
          <w:color w:val="0C447C"/>
          <w:sz w:val="32"/>
          <w:szCs w:val="32"/>
        </w:rPr>
        <w:t>11.  Contact &amp; Connect</w:t>
      </w:r>
    </w:p>
    <w:p w:rsidR="00703FA4" w:rsidRDefault="00703F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03F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Registered Office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03FA4" w:rsidRDefault="00000000">
            <w:r>
              <w:rPr>
                <w:color w:val="2C2C2C"/>
                <w:sz w:val="20"/>
                <w:szCs w:val="20"/>
              </w:rPr>
              <w:t>Chennai, Tamil Nadu, India — 600 001</w:t>
            </w:r>
          </w:p>
        </w:tc>
      </w:tr>
      <w:tr w:rsidR="00703F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Corporate Website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03FA4" w:rsidRDefault="00000000">
            <w:r>
              <w:rPr>
                <w:color w:val="2C2C2C"/>
                <w:sz w:val="20"/>
                <w:szCs w:val="20"/>
              </w:rPr>
              <w:t>www.nexdatalytix.com</w:t>
            </w:r>
          </w:p>
        </w:tc>
      </w:tr>
      <w:tr w:rsidR="00703F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lastRenderedPageBreak/>
              <w:t>General Enquiries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03FA4" w:rsidRDefault="00000000">
            <w:r>
              <w:rPr>
                <w:color w:val="2C2C2C"/>
                <w:sz w:val="20"/>
                <w:szCs w:val="20"/>
              </w:rPr>
              <w:t>contact@nexdatalytix.com</w:t>
            </w:r>
          </w:p>
        </w:tc>
      </w:tr>
      <w:tr w:rsidR="00703F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Business Development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03FA4" w:rsidRDefault="00000000">
            <w:r>
              <w:rPr>
                <w:color w:val="2C2C2C"/>
                <w:sz w:val="20"/>
                <w:szCs w:val="20"/>
              </w:rPr>
              <w:t>business@nexdatalytix.com</w:t>
            </w:r>
          </w:p>
        </w:tc>
      </w:tr>
      <w:tr w:rsidR="00703F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Research Division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03FA4" w:rsidRDefault="00000000">
            <w:r>
              <w:rPr>
                <w:color w:val="2C2C2C"/>
                <w:sz w:val="20"/>
                <w:szCs w:val="20"/>
              </w:rPr>
              <w:t>research@nexdatalytix.com</w:t>
            </w:r>
          </w:p>
        </w:tc>
      </w:tr>
      <w:tr w:rsidR="00703F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Technology Services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03FA4" w:rsidRDefault="00000000">
            <w:r>
              <w:rPr>
                <w:color w:val="2C2C2C"/>
                <w:sz w:val="20"/>
                <w:szCs w:val="20"/>
              </w:rPr>
              <w:t>tech@nexdatalytix.com</w:t>
            </w:r>
          </w:p>
        </w:tc>
      </w:tr>
      <w:tr w:rsidR="00703F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Media &amp; Publishing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03FA4" w:rsidRDefault="00000000">
            <w:r>
              <w:rPr>
                <w:color w:val="2C2C2C"/>
                <w:sz w:val="20"/>
                <w:szCs w:val="20"/>
              </w:rPr>
              <w:t>publishing@nexdatalytix.com</w:t>
            </w:r>
          </w:p>
        </w:tc>
      </w:tr>
      <w:tr w:rsidR="00703F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03FA4" w:rsidRDefault="00000000">
            <w:r>
              <w:rPr>
                <w:color w:val="2C2C2C"/>
                <w:sz w:val="20"/>
                <w:szCs w:val="20"/>
              </w:rPr>
              <w:t>linkedin.com/company/</w:t>
            </w:r>
            <w:proofErr w:type="spellStart"/>
            <w:r>
              <w:rPr>
                <w:color w:val="2C2C2C"/>
                <w:sz w:val="20"/>
                <w:szCs w:val="20"/>
              </w:rPr>
              <w:t>nexdatalytix</w:t>
            </w:r>
            <w:proofErr w:type="spellEnd"/>
            <w:r>
              <w:rPr>
                <w:color w:val="2C2C2C"/>
                <w:sz w:val="20"/>
                <w:szCs w:val="20"/>
              </w:rPr>
              <w:t>-global</w:t>
            </w:r>
          </w:p>
        </w:tc>
      </w:tr>
      <w:tr w:rsidR="00703F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Twitter / X</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03FA4" w:rsidRDefault="00000000">
            <w:r>
              <w:rPr>
                <w:color w:val="2C2C2C"/>
                <w:sz w:val="20"/>
                <w:szCs w:val="20"/>
              </w:rPr>
              <w:t>@NexDatalytix</w:t>
            </w:r>
          </w:p>
        </w:tc>
      </w:tr>
      <w:tr w:rsidR="00703F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rsidR="00703FA4" w:rsidRDefault="00000000">
            <w:r>
              <w:rPr>
                <w:b/>
                <w:bCs/>
                <w:color w:val="0C447C"/>
                <w:sz w:val="20"/>
                <w:szCs w:val="20"/>
              </w:rPr>
              <w:t>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03FA4" w:rsidRDefault="00000000">
            <w:r>
              <w:rPr>
                <w:color w:val="2C2C2C"/>
                <w:sz w:val="20"/>
                <w:szCs w:val="20"/>
              </w:rPr>
              <w:t>+91 — (to be updated upon registration)</w:t>
            </w:r>
          </w:p>
        </w:tc>
      </w:tr>
    </w:tbl>
    <w:p w:rsidR="00703FA4" w:rsidRDefault="00703FA4"/>
    <w:p w:rsidR="00703FA4" w:rsidRDefault="00703FA4">
      <w:pPr>
        <w:pBdr>
          <w:bottom w:val="single" w:sz="8" w:space="6" w:color="1D9E75"/>
        </w:pBdr>
      </w:pPr>
    </w:p>
    <w:p w:rsidR="00703FA4" w:rsidRDefault="00703FA4"/>
    <w:p w:rsidR="00703FA4" w:rsidRDefault="00000000">
      <w:pPr>
        <w:spacing w:before="120" w:after="120"/>
        <w:jc w:val="center"/>
      </w:pPr>
      <w:proofErr w:type="spellStart"/>
      <w:r>
        <w:rPr>
          <w:b/>
          <w:bCs/>
          <w:color w:val="0C447C"/>
          <w:sz w:val="24"/>
          <w:szCs w:val="24"/>
        </w:rPr>
        <w:t>NexDatalytix</w:t>
      </w:r>
      <w:proofErr w:type="spellEnd"/>
      <w:r>
        <w:rPr>
          <w:b/>
          <w:bCs/>
          <w:color w:val="0C447C"/>
          <w:sz w:val="24"/>
          <w:szCs w:val="24"/>
        </w:rPr>
        <w:t xml:space="preserve"> Global Research Private Limited</w:t>
      </w:r>
      <w:r>
        <w:rPr>
          <w:color w:val="CCCCCC"/>
          <w:sz w:val="24"/>
          <w:szCs w:val="24"/>
        </w:rPr>
        <w:t xml:space="preserve">   ·   </w:t>
      </w:r>
      <w:r>
        <w:rPr>
          <w:i/>
          <w:iCs/>
          <w:color w:val="1D9E75"/>
          <w:sz w:val="24"/>
          <w:szCs w:val="24"/>
        </w:rPr>
        <w:t>"Next-generation data intelligence. Globally delivered."</w:t>
      </w:r>
    </w:p>
    <w:p w:rsidR="00703FA4" w:rsidRDefault="00703FA4">
      <w:pPr>
        <w:pBdr>
          <w:bottom w:val="single" w:sz="2" w:space="4" w:color="1D9E75"/>
        </w:pBdr>
      </w:pPr>
    </w:p>
    <w:p w:rsidR="00703FA4" w:rsidRDefault="00000000">
      <w:pPr>
        <w:spacing w:before="80"/>
        <w:jc w:val="center"/>
      </w:pPr>
      <w:r>
        <w:rPr>
          <w:i/>
          <w:iCs/>
          <w:color w:val="888888"/>
          <w:sz w:val="17"/>
          <w:szCs w:val="17"/>
        </w:rPr>
        <w:t>Confidential — For official and business use only. Not for public distribution.</w:t>
      </w:r>
    </w:p>
    <w:sectPr w:rsidR="00703FA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D23A6" w:rsidRDefault="00FD23A6">
      <w:r>
        <w:separator/>
      </w:r>
    </w:p>
  </w:endnote>
  <w:endnote w:type="continuationSeparator" w:id="0">
    <w:p w:rsidR="00FD23A6" w:rsidRDefault="00FD2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03FA4" w:rsidRDefault="00000000">
    <w:pPr>
      <w:pBdr>
        <w:top w:val="single" w:sz="4" w:space="4" w:color="1D9E75"/>
      </w:pBdr>
    </w:pPr>
    <w:r>
      <w:rPr>
        <w:color w:val="888888"/>
        <w:sz w:val="17"/>
        <w:szCs w:val="17"/>
      </w:rPr>
      <w:t>www.nexdatalytix.com  |  contact@nexdatalytix.com  |  Chennai, Tamil Nadu, India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D23A6" w:rsidRDefault="00FD23A6">
      <w:r>
        <w:separator/>
      </w:r>
    </w:p>
  </w:footnote>
  <w:footnote w:type="continuationSeparator" w:id="0">
    <w:p w:rsidR="00FD23A6" w:rsidRDefault="00FD23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03FA4" w:rsidRDefault="00000000" w:rsidP="00233639">
    <w:pPr>
      <w:pBdr>
        <w:bottom w:val="single" w:sz="6" w:space="4" w:color="0C447C"/>
      </w:pBdr>
      <w:ind w:left="720" w:firstLine="720"/>
    </w:pPr>
    <w:r>
      <w:rPr>
        <w:b/>
        <w:bCs/>
        <w:color w:val="0C447C"/>
        <w:sz w:val="19"/>
        <w:szCs w:val="19"/>
      </w:rPr>
      <w:t>NEXDATALYTIX PRIVATE LIMITED</w:t>
    </w:r>
    <w:r>
      <w:rPr>
        <w:color w:val="888888"/>
        <w:sz w:val="17"/>
        <w:szCs w:val="17"/>
      </w:rPr>
      <w:t xml:space="preserve">   |   Company Profile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FE5072"/>
    <w:multiLevelType w:val="hybridMultilevel"/>
    <w:tmpl w:val="BDFE44DE"/>
    <w:lvl w:ilvl="0" w:tplc="89AC0E5C">
      <w:start w:val="1"/>
      <w:numFmt w:val="bullet"/>
      <w:lvlText w:val="•"/>
      <w:lvlJc w:val="left"/>
      <w:pPr>
        <w:ind w:left="720" w:hanging="360"/>
      </w:pPr>
    </w:lvl>
    <w:lvl w:ilvl="1" w:tplc="327876FC">
      <w:numFmt w:val="decimal"/>
      <w:lvlText w:val=""/>
      <w:lvlJc w:val="left"/>
    </w:lvl>
    <w:lvl w:ilvl="2" w:tplc="02B648D2">
      <w:numFmt w:val="decimal"/>
      <w:lvlText w:val=""/>
      <w:lvlJc w:val="left"/>
    </w:lvl>
    <w:lvl w:ilvl="3" w:tplc="06F89BA2">
      <w:numFmt w:val="decimal"/>
      <w:lvlText w:val=""/>
      <w:lvlJc w:val="left"/>
    </w:lvl>
    <w:lvl w:ilvl="4" w:tplc="1806FACC">
      <w:numFmt w:val="decimal"/>
      <w:lvlText w:val=""/>
      <w:lvlJc w:val="left"/>
    </w:lvl>
    <w:lvl w:ilvl="5" w:tplc="06F68EEA">
      <w:numFmt w:val="decimal"/>
      <w:lvlText w:val=""/>
      <w:lvlJc w:val="left"/>
    </w:lvl>
    <w:lvl w:ilvl="6" w:tplc="0E46ED38">
      <w:numFmt w:val="decimal"/>
      <w:lvlText w:val=""/>
      <w:lvlJc w:val="left"/>
    </w:lvl>
    <w:lvl w:ilvl="7" w:tplc="2640A970">
      <w:numFmt w:val="decimal"/>
      <w:lvlText w:val=""/>
      <w:lvlJc w:val="left"/>
    </w:lvl>
    <w:lvl w:ilvl="8" w:tplc="AA588C44">
      <w:numFmt w:val="decimal"/>
      <w:lvlText w:val=""/>
      <w:lvlJc w:val="left"/>
    </w:lvl>
  </w:abstractNum>
  <w:abstractNum w:abstractNumId="1" w15:restartNumberingAfterBreak="0">
    <w:nsid w:val="632C640E"/>
    <w:multiLevelType w:val="hybridMultilevel"/>
    <w:tmpl w:val="84AE666A"/>
    <w:lvl w:ilvl="0" w:tplc="5ED8D836">
      <w:start w:val="1"/>
      <w:numFmt w:val="bullet"/>
      <w:lvlText w:val="●"/>
      <w:lvlJc w:val="left"/>
      <w:pPr>
        <w:ind w:left="720" w:hanging="360"/>
      </w:pPr>
    </w:lvl>
    <w:lvl w:ilvl="1" w:tplc="2DCC753C">
      <w:start w:val="1"/>
      <w:numFmt w:val="bullet"/>
      <w:lvlText w:val="○"/>
      <w:lvlJc w:val="left"/>
      <w:pPr>
        <w:ind w:left="1440" w:hanging="360"/>
      </w:pPr>
    </w:lvl>
    <w:lvl w:ilvl="2" w:tplc="F906DE0A">
      <w:start w:val="1"/>
      <w:numFmt w:val="bullet"/>
      <w:lvlText w:val="■"/>
      <w:lvlJc w:val="left"/>
      <w:pPr>
        <w:ind w:left="2160" w:hanging="360"/>
      </w:pPr>
    </w:lvl>
    <w:lvl w:ilvl="3" w:tplc="E844125E">
      <w:start w:val="1"/>
      <w:numFmt w:val="bullet"/>
      <w:lvlText w:val="●"/>
      <w:lvlJc w:val="left"/>
      <w:pPr>
        <w:ind w:left="2880" w:hanging="360"/>
      </w:pPr>
    </w:lvl>
    <w:lvl w:ilvl="4" w:tplc="F670D40E">
      <w:start w:val="1"/>
      <w:numFmt w:val="bullet"/>
      <w:lvlText w:val="○"/>
      <w:lvlJc w:val="left"/>
      <w:pPr>
        <w:ind w:left="3600" w:hanging="360"/>
      </w:pPr>
    </w:lvl>
    <w:lvl w:ilvl="5" w:tplc="A5F8CA7C">
      <w:start w:val="1"/>
      <w:numFmt w:val="bullet"/>
      <w:lvlText w:val="■"/>
      <w:lvlJc w:val="left"/>
      <w:pPr>
        <w:ind w:left="4320" w:hanging="360"/>
      </w:pPr>
    </w:lvl>
    <w:lvl w:ilvl="6" w:tplc="8C1EDF90">
      <w:start w:val="1"/>
      <w:numFmt w:val="bullet"/>
      <w:lvlText w:val="●"/>
      <w:lvlJc w:val="left"/>
      <w:pPr>
        <w:ind w:left="5040" w:hanging="360"/>
      </w:pPr>
    </w:lvl>
    <w:lvl w:ilvl="7" w:tplc="388A8694">
      <w:start w:val="1"/>
      <w:numFmt w:val="bullet"/>
      <w:lvlText w:val="●"/>
      <w:lvlJc w:val="left"/>
      <w:pPr>
        <w:ind w:left="5760" w:hanging="360"/>
      </w:pPr>
    </w:lvl>
    <w:lvl w:ilvl="8" w:tplc="3F5AE3E6">
      <w:start w:val="1"/>
      <w:numFmt w:val="bullet"/>
      <w:lvlText w:val="●"/>
      <w:lvlJc w:val="left"/>
      <w:pPr>
        <w:ind w:left="6480" w:hanging="360"/>
      </w:pPr>
    </w:lvl>
  </w:abstractNum>
  <w:num w:numId="1" w16cid:durableId="1812821848">
    <w:abstractNumId w:val="1"/>
    <w:lvlOverride w:ilvl="0">
      <w:startOverride w:val="1"/>
    </w:lvlOverride>
  </w:num>
  <w:num w:numId="2" w16cid:durableId="14060276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FA4"/>
    <w:rsid w:val="00012F03"/>
    <w:rsid w:val="00233639"/>
    <w:rsid w:val="00703FA4"/>
    <w:rsid w:val="00FD23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55D259C"/>
  <w15:docId w15:val="{8E76370B-3645-B842-919F-B6C95DB27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3639"/>
    <w:pPr>
      <w:tabs>
        <w:tab w:val="center" w:pos="4513"/>
        <w:tab w:val="right" w:pos="9026"/>
      </w:tabs>
    </w:pPr>
  </w:style>
  <w:style w:type="character" w:customStyle="1" w:styleId="HeaderChar">
    <w:name w:val="Header Char"/>
    <w:basedOn w:val="DefaultParagraphFont"/>
    <w:link w:val="Header"/>
    <w:uiPriority w:val="99"/>
    <w:rsid w:val="00233639"/>
  </w:style>
  <w:style w:type="paragraph" w:styleId="Footer">
    <w:name w:val="footer"/>
    <w:basedOn w:val="Normal"/>
    <w:link w:val="FooterChar"/>
    <w:uiPriority w:val="99"/>
    <w:unhideWhenUsed/>
    <w:rsid w:val="00233639"/>
    <w:pPr>
      <w:tabs>
        <w:tab w:val="center" w:pos="4513"/>
        <w:tab w:val="right" w:pos="9026"/>
      </w:tabs>
    </w:pPr>
  </w:style>
  <w:style w:type="character" w:customStyle="1" w:styleId="FooterChar">
    <w:name w:val="Footer Char"/>
    <w:basedOn w:val="DefaultParagraphFont"/>
    <w:link w:val="Footer"/>
    <w:uiPriority w:val="99"/>
    <w:rsid w:val="002336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2335</Words>
  <Characters>13315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Shankar V R</cp:lastModifiedBy>
  <cp:revision>2</cp:revision>
  <dcterms:created xsi:type="dcterms:W3CDTF">2026-05-21T03:56:00Z</dcterms:created>
  <dcterms:modified xsi:type="dcterms:W3CDTF">2026-07-01T08:23:00Z</dcterms:modified>
</cp:coreProperties>
</file>