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b/>
          <w:bCs/>
          <w:color w:val="1B2A4A"/>
          <w:sz w:val="22"/>
          <w:szCs w:val="22"/>
        </w:rPr>
        <w:t xml:space="preserve">ASSUREDPIXEL DIGITAL STUDIO</w:t>
      </w:r>
    </w:p>
    <w:p>
      <w:pPr>
        <w:spacing w:after="400" w:before="40"/>
      </w:pPr>
      <w:r>
        <w:rPr>
          <w:color w:val="B08D57"/>
          <w:sz w:val="16"/>
          <w:szCs w:val="16"/>
        </w:rPr>
        <w:t xml:space="preserve">Developer Reference</w:t>
      </w:r>
    </w:p>
    <w:p>
      <w:pPr>
        <w:spacing w:after="60" w:before="100"/>
      </w:pPr>
      <w:r>
        <w:rPr>
          <w:b/>
          <w:bCs/>
          <w:color w:val="1B2A4A"/>
          <w:sz w:val="38"/>
          <w:szCs w:val="38"/>
        </w:rPr>
        <w:t xml:space="preserve">Lead Generation &amp; Tracking Specification</w:t>
      </w:r>
    </w:p>
    <w:p>
      <w:pPr>
        <w:spacing w:after="500"/>
      </w:pPr>
      <w:r>
        <w:rPr>
          <w:color w:val="5A5A5A"/>
          <w:sz w:val="24"/>
          <w:szCs w:val="24"/>
        </w:rPr>
        <w:t xml:space="preserve">FarashaCRP.com — Premium Package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Client:  </w:t>
      </w:r>
      <w:r>
        <w:rPr>
          <w:sz w:val="20"/>
          <w:szCs w:val="20"/>
        </w:rPr>
        <w:t xml:space="preserve">Farasha Clinical Research Partners, LLC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Agency:  </w:t>
      </w:r>
      <w:r>
        <w:rPr>
          <w:sz w:val="20"/>
          <w:szCs w:val="20"/>
        </w:rPr>
        <w:t xml:space="preserve">AssuredPixel Digital Studio</w:t>
      </w:r>
    </w:p>
    <w:p>
      <w:pPr>
        <w:spacing w:after="500"/>
      </w:pPr>
      <w:r>
        <w:rPr>
          <w:b/>
          <w:bCs/>
          <w:sz w:val="20"/>
          <w:szCs w:val="20"/>
        </w:rPr>
        <w:t xml:space="preserve">Companion to:  </w:t>
      </w:r>
      <w:r>
        <w:rPr>
          <w:sz w:val="20"/>
          <w:szCs w:val="20"/>
        </w:rPr>
        <w:t xml:space="preserve">Technical Documentation v2, Scope of Work v2</w:t>
      </w:r>
    </w:p>
    <w:p>
      <w:pPr>
        <w:pStyle w:val="Heading1"/>
        <w:pBdr>
          <w:bottom w:val="single" w:color="B08D57" w:sz="6" w:space="4"/>
        </w:pBdr>
        <w:spacing w:after="180" w:before="380"/>
      </w:pPr>
      <w:r>
        <w:rPr>
          <w:b/>
          <w:bCs/>
          <w:color w:val="1B2A4A"/>
          <w:sz w:val="28"/>
          <w:szCs w:val="28"/>
        </w:rPr>
        <w:t xml:space="preserve">1. Why This Document Exists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Premium package includes multiple lead capture points across the site, each behaving differently. This document exists because that difference matters for the build: routing a lead magnet signup the same way as a general inquiry form will lose the automation, tagging, and reporting the client is paying for. Read this before building any form on the site.</w:t>
      </w:r>
    </w:p>
    <w:p>
      <w:pPr>
        <w:pStyle w:val="Heading1"/>
        <w:pBdr>
          <w:bottom w:val="single" w:color="B08D57" w:sz="6" w:space="4"/>
        </w:pBdr>
        <w:spacing w:after="180" w:before="380"/>
      </w:pPr>
      <w:r>
        <w:rPr>
          <w:b/>
          <w:bCs/>
          <w:color w:val="1B2A4A"/>
          <w:sz w:val="28"/>
          <w:szCs w:val="28"/>
        </w:rPr>
        <w:t xml:space="preserve">2. Every Lead Source on the 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360"/>
        <w:gridCol w:w="200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 It Lives</w:t>
            </w:r>
          </w:p>
        </w:tc>
        <w:tc>
          <w:tcPr>
            <w:tcW w:type="dxa" w:w="236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Routes To</w:t>
            </w:r>
          </w:p>
        </w:tc>
        <w:tc>
          <w:tcPr>
            <w:tcW w:type="dxa" w:w="2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600"/>
            <w:shd w:fill="F2EF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Sponsor/CRO inquiry form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For Sponsors &amp; CROs page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Email notification (Formspree/API route)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One-time notice</w:t>
            </w:r>
          </w:p>
        </w:tc>
      </w:tr>
      <w:tr>
        <w:tc>
          <w:tcPr>
            <w:tcW w:type="dxa" w:w="2600"/>
            <w:shd w:fill="F2EF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Candidate application form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For CR Professionals page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Email notification (Formspree/API route)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One-time notice</w:t>
            </w:r>
          </w:p>
        </w:tc>
      </w:tr>
      <w:tr>
        <w:tc>
          <w:tcPr>
            <w:tcW w:type="dxa" w:w="2600"/>
            <w:shd w:fill="F2EF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General contact form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Contact page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Email notification (Formspree/API route)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One-time notice</w:t>
            </w:r>
          </w:p>
        </w:tc>
      </w:tr>
      <w:tr>
        <w:tc>
          <w:tcPr>
            <w:tcW w:type="dxa" w:w="2600"/>
            <w:shd w:fill="DCE8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"Schedule a call" CTA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Sponsors &amp; CROs page + LinkedIn landing page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Calendly (external booking page)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Booking event</w:t>
            </w:r>
          </w:p>
        </w:tc>
      </w:tr>
      <w:tr>
        <w:tc>
          <w:tcPr>
            <w:tcW w:type="dxa" w:w="2600"/>
            <w:shd w:fill="E9E2D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Sponsor Staffing Checklist opt-in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/linkedin landing page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Email platform (Mailchimp/ConvertKit)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Persistent subscriber</w:t>
            </w:r>
          </w:p>
        </w:tc>
      </w:tr>
      <w:tr>
        <w:tc>
          <w:tcPr>
            <w:tcW w:type="dxa" w:w="2600"/>
            <w:shd w:fill="E9E2D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CRA Placement Guide opt-in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/linkedin landing page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Email platform (Mailchimp/ConvertKit)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Persistent subscriber</w:t>
            </w:r>
          </w:p>
        </w:tc>
      </w:tr>
      <w:tr>
        <w:tc>
          <w:tcPr>
            <w:tcW w:type="dxa" w:w="2600"/>
            <w:shd w:fill="E9E2D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Any future gated-content opt-in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Any page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Email platform (Mailchimp/ConvertKit)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Persistent subscriber</w:t>
            </w:r>
          </w:p>
        </w:tc>
      </w:tr>
    </w:tbl>
    <w:p>
      <w:pPr>
        <w:spacing w:after="160" w:line="276"/>
      </w:pPr>
      <w:r>
        <w:rPr>
          <w:i/>
          <w:iCs/>
          <w:color w:val="5A5A5A"/>
          <w:sz w:val="20"/>
          <w:szCs w:val="20"/>
        </w:rPr>
        <w:t xml:space="preserve">Rule of thumb: if the form is asking someone to inquire or apply, it's a one-time email notice. If the form is trading something (a checklist, a guide, a resource) for an email address, it's a persistent subscriber and belongs in the email platform, not just an inbox.</w:t>
      </w:r>
    </w:p>
    <w:p>
      <w:pPr>
        <w:pStyle w:val="Heading1"/>
        <w:pBdr>
          <w:bottom w:val="single" w:color="B08D57" w:sz="6" w:space="4"/>
        </w:pBdr>
        <w:spacing w:after="180" w:before="380"/>
      </w:pPr>
      <w:r>
        <w:rPr>
          <w:b/>
          <w:bCs/>
          <w:color w:val="1B2A4A"/>
          <w:sz w:val="28"/>
          <w:szCs w:val="28"/>
        </w:rPr>
        <w:t xml:space="preserve">3. Inquiry &amp; Application Forms — Routing Detail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Sponsor/CRO inquiry, candidate application, and general contact forms all post to a lightweight serverless handler (Formspree or a small custom API route)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The handler forwards the submission as an email notification to farasha@farashacrp.com, including any resume attachment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No submission data is stored on FarashaCRP's own servers — it lives with the form provider and in the email itself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Resume attachment size should be tested against the form provider's limits before launch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Optional (not required for launch): also log these submissions to a Google Sheet or Airtable base if Amanda wants a running record beyond her inbox</w:t>
      </w:r>
    </w:p>
    <w:p>
      <w:pPr>
        <w:pStyle w:val="Heading1"/>
        <w:pBdr>
          <w:bottom w:val="single" w:color="B08D57" w:sz="6" w:space="4"/>
        </w:pBdr>
        <w:spacing w:after="180" w:before="380"/>
      </w:pPr>
      <w:r>
        <w:rPr>
          <w:b/>
          <w:bCs/>
          <w:color w:val="1B2A4A"/>
          <w:sz w:val="28"/>
          <w:szCs w:val="28"/>
        </w:rPr>
        <w:t xml:space="preserve">4. Lead Magnet Capture — Routing Detail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This covers the LinkedIn landing page opt-ins and any other gated-content forms built later.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Forms submit directly to the email marketing platform's API (Mailchimp or ConvertKit) — not the serverless form handler used above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Each subscriber is tagged at the point of capture with: segment ("Sponsor" or "Candidate") and source ("LinkedIn," or wherever else this pattern gets reused later)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Tagging determines which automated welcome sequence fires — sponsors and candidates should not receive the same first email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The gated resource itself (checklist PDF, guide PDF) should be delivered via the automation, not hard-linked on the page, so the email step can't be skipped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This subscriber list is the source of truth for lead generation reporting — it is where Amanda should be told to look, not her email inbox</w:t>
      </w:r>
    </w:p>
    <w:p>
      <w:pPr>
        <w:pStyle w:val="Heading1"/>
        <w:pBdr>
          <w:bottom w:val="single" w:color="B08D57" w:sz="6" w:space="4"/>
        </w:pBdr>
        <w:spacing w:after="180" w:before="380"/>
      </w:pPr>
      <w:r>
        <w:rPr>
          <w:b/>
          <w:bCs/>
          <w:color w:val="1B2A4A"/>
          <w:sz w:val="28"/>
          <w:szCs w:val="28"/>
        </w:rPr>
        <w:t xml:space="preserve">5. Call Scheduling — Routing Detail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This covers the two "Schedule a call" CTAs: the closing CTA on the Sponsors &amp; CROs page ("Prefer a quick conversation?") and the standalone "Schedule a call" button on the LinkedIn landing page.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Both CTAs link out to Amanda's Calendly booking page, not to the on-site contact form — the booking itself happens entirely on Calendly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Preferred: embed Calendly inline on the page (via Calendly's embed widget) so the visitor doesn't fully leave the site; a new-tab link-out is an acceptable fallback if inline embedding is skipped for initial launch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No booking data is duplicated into Formspree or Mailchimp — Calendly is the sole record of the appointment, and it syncs directly to Amanda's Google Calendar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GA4 should track a click event on both CTA buttons (e.g., "call_scheduled_click") as a conversion signal — this measures intent to book, not a confirmed booking, since GA4 has no visibility into what happens once the visitor lands on Calendly's page without a deeper webhook integration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For an actual count of confirmed bookings, Amanda should check the Calendly dashboard directly — that is the source of truth for calls booked, the same way the email platform is the source of truth for subscribers</w:t>
      </w:r>
    </w:p>
    <w:p>
      <w:pPr>
        <w:pStyle w:val="Heading1"/>
        <w:pBdr>
          <w:bottom w:val="single" w:color="B08D57" w:sz="6" w:space="4"/>
        </w:pBdr>
        <w:spacing w:after="180" w:before="380"/>
      </w:pPr>
      <w:r>
        <w:rPr>
          <w:b/>
          <w:bCs/>
          <w:color w:val="1B2A4A"/>
          <w:sz w:val="28"/>
          <w:szCs w:val="28"/>
        </w:rPr>
        <w:t xml:space="preserve">6. Tagging &amp; Segmentation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312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Applied When</w:t>
            </w:r>
          </w:p>
        </w:tc>
        <w:tc>
          <w:tcPr>
            <w:tcW w:type="dxa" w:w="312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Triggers</w:t>
            </w:r>
          </w:p>
        </w:tc>
      </w:tr>
      <w:tr>
        <w:tc>
          <w:tcPr>
            <w:tcW w:type="dxa" w:w="3120"/>
            <w:shd w:fill="F2EF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Sponsor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Sponsor Staffing Checklist opt-in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Sponsor welcome sequence</w:t>
            </w:r>
          </w:p>
        </w:tc>
      </w:tr>
      <w:tr>
        <w:tc>
          <w:tcPr>
            <w:tcW w:type="dxa" w:w="3120"/>
            <w:shd w:fill="F2EF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Candidate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CRA Placement Guide opt-in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Candidate welcome sequence</w:t>
            </w:r>
          </w:p>
        </w:tc>
      </w:tr>
      <w:tr>
        <w:tc>
          <w:tcPr>
            <w:tcW w:type="dxa" w:w="3120"/>
            <w:shd w:fill="F2EF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Source: LinkedIn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Any opt-in from the /linkedin page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automation — reporting only</w:t>
            </w:r>
          </w:p>
        </w:tc>
      </w:tr>
    </w:tbl>
    <w:p>
      <w:pPr>
        <w:spacing w:after="160" w:line="276"/>
      </w:pPr>
      <w:r>
        <w:rPr>
          <w:color w:val="222222"/>
          <w:sz w:val="20"/>
          <w:szCs w:val="20"/>
        </w:rPr>
        <w:t xml:space="preserve">Additional source tags (e.g., "Source: Home," "Source: Sponsors Page") should follow the same pattern if lead magnets get added to other pages later, so all reporting stays consistent as the system grows.</w:t>
      </w:r>
    </w:p>
    <w:p>
      <w:pPr>
        <w:pStyle w:val="Heading1"/>
        <w:pBdr>
          <w:bottom w:val="single" w:color="B08D57" w:sz="6" w:space="4"/>
        </w:pBdr>
        <w:spacing w:after="180" w:before="380"/>
      </w:pPr>
      <w:r>
        <w:rPr>
          <w:b/>
          <w:bCs/>
          <w:color w:val="1B2A4A"/>
          <w:sz w:val="28"/>
          <w:szCs w:val="28"/>
        </w:rPr>
        <w:t xml:space="preserve">7. What GA4 Tracks vs. What It Doesn't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GA4 tracks page-level behavior: visits, bounce rate, and a conversion event when a form is successfully submitted or a "Schedule a call" CTA is clicked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GA4 does NOT store or transmit the lead's actual name, email, or any personal contact information — it is aggregate, not per-lead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For Calendly specifically, GA4 sees the CTA click, not the completed booking — confirmed bookings live in Calendly, not GA4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This means GA4 answers "how well is this page converting" while the email platform and Calendly answer "who exactly converted and what do I say to them next"</w:t>
      </w:r>
    </w:p>
    <w:p>
      <w:pPr>
        <w:pStyle w:val="Heading1"/>
        <w:pBdr>
          <w:bottom w:val="single" w:color="B08D57" w:sz="6" w:space="4"/>
        </w:pBdr>
        <w:spacing w:after="180" w:before="380"/>
      </w:pPr>
      <w:r>
        <w:rPr>
          <w:b/>
          <w:bCs/>
          <w:color w:val="1B2A4A"/>
          <w:sz w:val="28"/>
          <w:szCs w:val="28"/>
        </w:rPr>
        <w:t xml:space="preserve">8. Reporting — What Amanda Should Be Able to See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Total subscriber count and growth over time (email platform dashboard)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Subscriber breakdown by segment (Sponsor vs. Candidate) and by source (e.g., LinkedIn vs. other pages)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Page-level conversion rate for the LinkedIn landing page and any other lead-magnet pages (GA4)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Inquiry and application form volume, currently visible via email, with the optional Sheet/Airtable log as an upgrade if volume grows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Confirmed call bookings, visible via the Calendly dashboard directly, not GA4 or email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2026-08-26T12:11:49.652Z</dcterms:created>
  <dcterms:modified xsi:type="dcterms:W3CDTF">2026-08-26T12:11:49.653Z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