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Research</w:t>
      </w:r>
    </w:p>
    <w:p>
      <w:r>
        <w:rPr>
          <w:sz w:val="22"/>
        </w:rPr>
        <w:t>This project explores workplace stress and aims to design a personalized solution using Design Thinking.</w:t>
      </w:r>
    </w:p>
    <w:p>
      <w:r>
        <w:rPr>
          <w:sz w:val="22"/>
        </w:rPr>
        <w:t>A survey of 25 professionals (interns, developers, managers, HR) aged 21–45 was conducted.</w:t>
      </w:r>
    </w:p>
    <w:p>
      <w:pPr>
        <w:pStyle w:val="Heading2"/>
      </w:pPr>
      <w:r>
        <w:t>Key Findings</w:t>
      </w:r>
    </w:p>
    <w:p>
      <w:r>
        <w:rPr>
          <w:sz w:val="22"/>
        </w:rPr>
        <w:t>68% experience stress daily, 24% multiple times a week.</w:t>
      </w:r>
    </w:p>
    <w:p>
      <w:r>
        <w:rPr>
          <w:sz w:val="22"/>
        </w:rPr>
        <w:t>Top triggers: workload (40%), deadlines (28%), meetings (20%).</w:t>
      </w:r>
    </w:p>
    <w:p>
      <w:r>
        <w:rPr>
          <w:sz w:val="22"/>
        </w:rPr>
        <w:t>42% feel existing solutions are not personalized.</w:t>
      </w:r>
    </w:p>
    <w:p>
      <w:r>
        <w:rPr>
          <w:sz w:val="22"/>
        </w:rPr>
        <w:t>76% are interested in AI-based stress relief.</w:t>
      </w:r>
    </w:p>
    <w:p>
      <w:pPr>
        <w:pStyle w:val="Heading2"/>
      </w:pPr>
      <w:r>
        <w:t>Insights</w:t>
      </w:r>
    </w:p>
    <w:p>
      <w:r>
        <w:rPr>
          <w:sz w:val="22"/>
        </w:rPr>
        <w:t>Stress is frequent and repetitive.</w:t>
      </w:r>
    </w:p>
    <w:p>
      <w:r>
        <w:rPr>
          <w:sz w:val="22"/>
        </w:rPr>
        <w:t>Solutions must be instant, personalized, and accessible.</w:t>
      </w:r>
    </w:p>
    <w:p>
      <w:r>
        <w:rPr>
          <w:sz w:val="22"/>
        </w:rPr>
        <w:t>There is strong demand for intelligent stress management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