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Review and Remediation Report</w:t>
      </w:r>
    </w:p>
    <w:p>
      <w:pPr>
        <w:spacing w:after="240"/>
      </w:pPr>
      <w:r>
        <w:rPr>
          <w:color w:val="3F5163"/>
          <w:sz w:val="20"/>
        </w:rPr>
        <w:t>Lab Asset Management  |  Review status: fixes applied; deployment verification remains</w:t>
      </w:r>
    </w:p>
    <w:p>
      <w:r>
        <w:rPr>
          <w:b/>
        </w:rPr>
        <w:t xml:space="preserve">Summary. </w:t>
      </w:r>
      <w:r>
        <w:t>This review identified three application-level security issues: weak JWT fallback acceptance in non-production runtime configurations, request-size enforcement that trusted Content-Length, and cross-lab borrowing data visibility for head technicians. Fixes were made in the project. Type checking passes and the dependency audit reports zero known vulnerabilities. Live API and deployment testing remains outstanding because the test suite can modify a database and no disposable test database was confirmed.</w:t>
      </w:r>
    </w:p>
    <w:p>
      <w:pPr>
        <w:pStyle w:val="Heading1"/>
      </w:pPr>
      <w:r>
        <w:t>Review scope and method</w:t>
      </w:r>
    </w:p>
    <w:p>
      <w:r>
        <w:t>The review combined source inspection, targeted authorization and request-handling checks, and npm dependency audits. It checked authentication configuration, API body parsing, import processing, rate limiting, borrowing list scoping, and related access-control conventions. No attack was launched against a public or production service, and no database data was changed.</w:t>
      </w:r>
    </w:p>
    <w:p>
      <w:r>
        <w:t>This is a code-level security review, not a guarantee that the application is free of vulnerabilities. Results apply to the project files and dependency lockfile present at the time of review; deployment settings and runtime behavior still need environment-specific validation.</w:t>
      </w:r>
    </w:p>
    <w:p>
      <w:pPr>
        <w:pStyle w:val="Heading1"/>
      </w:pPr>
      <w:r>
        <w:t>Findings and fixes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045"/>
            <w:vAlign w:val="center"/>
            <w:shd w:fill="23415C"/>
            <w:tcBorders>
              <w:top w:val="single" w:sz="4" w:color="D9E0E6"/>
              <w:left w:val="single" w:sz="4" w:color="D9E0E6"/>
              <w:bottom w:val="single" w:sz="4" w:color="D9E0E6"/>
              <w:right w:val="single" w:sz="4" w:color="D9E0E6"/>
              <w:insideH w:val="single" w:sz="4" w:color="D9E0E6"/>
              <w:insideV w:val="single" w:sz="4" w:color="D9E0E6"/>
            </w:tcBorders>
          </w:tcPr>
          <w:p>
            <w:r>
              <w:rPr>
                <w:b/>
                <w:color w:val="FFFFFF"/>
                <w:sz w:val="16"/>
              </w:rPr>
              <w:t>Finding</w:t>
            </w:r>
          </w:p>
        </w:tc>
        <w:tc>
          <w:tcPr>
            <w:tcW w:type="dxa" w:w="2952"/>
            <w:vAlign w:val="center"/>
            <w:shd w:fill="23415C"/>
            <w:tcBorders>
              <w:top w:val="single" w:sz="4" w:color="D9E0E6"/>
              <w:left w:val="single" w:sz="4" w:color="D9E0E6"/>
              <w:bottom w:val="single" w:sz="4" w:color="D9E0E6"/>
              <w:right w:val="single" w:sz="4" w:color="D9E0E6"/>
              <w:insideH w:val="single" w:sz="4" w:color="D9E0E6"/>
              <w:insideV w:val="single" w:sz="4" w:color="D9E0E6"/>
            </w:tcBorders>
          </w:tcPr>
          <w:p>
            <w:r>
              <w:rPr>
                <w:b/>
                <w:color w:val="FFFFFF"/>
                <w:sz w:val="16"/>
              </w:rPr>
              <w:t>Risk</w:t>
            </w:r>
          </w:p>
        </w:tc>
        <w:tc>
          <w:tcPr>
            <w:tcW w:type="dxa" w:w="3485"/>
            <w:vAlign w:val="center"/>
            <w:shd w:fill="23415C"/>
            <w:tcBorders>
              <w:top w:val="single" w:sz="4" w:color="D9E0E6"/>
              <w:left w:val="single" w:sz="4" w:color="D9E0E6"/>
              <w:bottom w:val="single" w:sz="4" w:color="D9E0E6"/>
              <w:right w:val="single" w:sz="4" w:color="D9E0E6"/>
              <w:insideH w:val="single" w:sz="4" w:color="D9E0E6"/>
              <w:insideV w:val="single" w:sz="4" w:color="D9E0E6"/>
            </w:tcBorders>
          </w:tcPr>
          <w:p>
            <w:r>
              <w:rPr>
                <w:b/>
                <w:color w:val="FFFFFF"/>
                <w:sz w:val="16"/>
              </w:rPr>
              <w:t>Remediation</w:t>
            </w:r>
          </w:p>
        </w:tc>
        <w:tc>
          <w:tcPr>
            <w:tcW w:type="dxa" w:w="1757"/>
            <w:vAlign w:val="center"/>
            <w:shd w:fill="23415C"/>
            <w:tcBorders>
              <w:top w:val="single" w:sz="4" w:color="D9E0E6"/>
              <w:left w:val="single" w:sz="4" w:color="D9E0E6"/>
              <w:bottom w:val="single" w:sz="4" w:color="D9E0E6"/>
              <w:right w:val="single" w:sz="4" w:color="D9E0E6"/>
              <w:insideH w:val="single" w:sz="4" w:color="D9E0E6"/>
              <w:insideV w:val="single" w:sz="4" w:color="D9E0E6"/>
            </w:tcBorders>
          </w:tcPr>
          <w:p>
            <w:r>
              <w:rPr>
                <w:b/>
                <w:color w:val="FFFFFF"/>
                <w:sz w:val="16"/>
              </w:rPr>
              <w:t>Status</w:t>
            </w:r>
          </w:p>
        </w:tc>
      </w:tr>
      <w:tr>
        <w:tc>
          <w:tcPr>
            <w:tcW w:type="dxa" w:w="2045"/>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5"/>
              </w:rPr>
              <w:t>JWT secret fallback accepted outside local development</w:t>
            </w:r>
          </w:p>
        </w:tc>
        <w:tc>
          <w:tcPr>
            <w:tcW w:type="dxa" w:w="2952"/>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5"/>
              </w:rPr>
              <w:t>The weak-secret guard was tied to NODE_ENV=production. A staging or custom runtime could therefore accept a known fallback secret and issue forgeable session tokens.</w:t>
            </w:r>
          </w:p>
        </w:tc>
        <w:tc>
          <w:tcPr>
            <w:tcW w:type="dxa" w:w="3485"/>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5"/>
              </w:rPr>
              <w:t>Updated src/lib/auth-jwt.ts to reject missing/short/known weak secrets in every runtime except development and tests, while allowing Next production-build compilation. Session cookies are Secure outside development and tests.</w:t>
            </w:r>
          </w:p>
        </w:tc>
        <w:tc>
          <w:tcPr>
            <w:tcW w:type="dxa" w:w="1757"/>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5"/>
              </w:rPr>
              <w:t>Fixed in code; production secret configuration still must be confirmed.</w:t>
            </w:r>
          </w:p>
        </w:tc>
      </w:tr>
      <w:tr>
        <w:tc>
          <w:tcPr>
            <w:tcW w:type="dxa" w:w="2045"/>
            <w:vAlign w:val="center"/>
            <w:shd w:fill="F2F6F9"/>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5"/>
              </w:rPr>
              <w:t>Request size checks trusted Content-Length</w:t>
            </w:r>
          </w:p>
        </w:tc>
        <w:tc>
          <w:tcPr>
            <w:tcW w:type="dxa" w:w="2952"/>
            <w:vAlign w:val="center"/>
            <w:shd w:fill="F2F6F9"/>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5"/>
              </w:rPr>
              <w:t>The middleware rejected oversized declared lengths but did not count streamed bytes. A request without a trustworthy length could still reach JSON parsing. Import parsed multipart data before applying its file-size check, and its expensive preview/confirm operations lacked their own rate limits.</w:t>
            </w:r>
          </w:p>
        </w:tc>
        <w:tc>
          <w:tcPr>
            <w:tcW w:type="dxa" w:w="3485"/>
            <w:vAlign w:val="center"/>
            <w:shd w:fill="F2F6F9"/>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5"/>
              </w:rPr>
              <w:t>Added bounded streaming readers in src/lib/requestBody.ts. JSON bodies default to 1 MiB and can be configured up to 8 MiB; multipart import bodies are capped at 8 MiB plus bounded overhead. Invalid lengths and malformed bodies are rejected. Import preview and confirmation now have separate rate limits.</w:t>
            </w:r>
          </w:p>
        </w:tc>
        <w:tc>
          <w:tcPr>
            <w:tcW w:type="dxa" w:w="1757"/>
            <w:vAlign w:val="center"/>
            <w:shd w:fill="F2F6F9"/>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5"/>
              </w:rPr>
              <w:t>Fixed in code; test upload behavior in the actual hosting/runtime stack.</w:t>
            </w:r>
          </w:p>
        </w:tc>
      </w:tr>
      <w:tr>
        <w:tc>
          <w:tcPr>
            <w:tcW w:type="dxa" w:w="2045"/>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5"/>
              </w:rPr>
              <w:t>Head technicians could see borrowing records for other labs</w:t>
            </w:r>
          </w:p>
        </w:tc>
        <w:tc>
          <w:tcPr>
            <w:tcW w:type="dxa" w:w="2952"/>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5"/>
              </w:rPr>
              <w:t>The borrowing lists did not consistently enforce current lab assignments, exposing borrower and request details beyond a head technician’s lab scope.</w:t>
            </w:r>
          </w:p>
        </w:tc>
        <w:tc>
          <w:tcPr>
            <w:tcW w:type="dxa" w:w="3485"/>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5"/>
              </w:rPr>
              <w:t>Scoped loan records to assets in currently assigned labs and the user’s college. Scoped request visibility to the technician’s own requests plus requests for currently assigned labs; assignment lookup is college-filtered.</w:t>
            </w:r>
          </w:p>
        </w:tc>
        <w:tc>
          <w:tcPr>
            <w:tcW w:type="dxa" w:w="1757"/>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5"/>
              </w:rPr>
              <w:t>Fixed in code; confirm with API integration tests on a disposable database.</w:t>
            </w:r>
          </w:p>
        </w:tc>
      </w:tr>
    </w:tbl>
    <w:p>
      <w:pPr>
        <w:pStyle w:val="Heading1"/>
      </w:pPr>
      <w:r>
        <w:t>Additional security checks</w:t>
      </w:r>
    </w:p>
    <w:p>
      <w:pPr>
        <w:pStyle w:val="ListBullet"/>
        <w:spacing w:after="60"/>
      </w:pPr>
      <w:r>
        <w:rPr>
          <w:b/>
        </w:rPr>
        <w:t xml:space="preserve">Session validity: </w:t>
      </w:r>
      <w:r>
        <w:t>Session loading checks the account against the database on requests, including active status and sessionVersion. Password/session revocation and account deactivation therefore take effect without waiting for the token expiry.</w:t>
      </w:r>
    </w:p>
    <w:p>
      <w:pPr>
        <w:pStyle w:val="ListBullet"/>
        <w:spacing w:after="60"/>
      </w:pPr>
      <w:r>
        <w:rPr>
          <w:b/>
        </w:rPr>
        <w:t xml:space="preserve">Lab authorization: </w:t>
      </w:r>
      <w:r>
        <w:t>The canManageLab helper checks persisted lab assignments for head technicians and applies college access rules. Assignment removal is reflected on subsequent authorization checks.</w:t>
      </w:r>
    </w:p>
    <w:p>
      <w:pPr>
        <w:pStyle w:val="ListBullet"/>
        <w:spacing w:after="60"/>
      </w:pPr>
      <w:r>
        <w:rPr>
          <w:b/>
        </w:rPr>
        <w:t xml:space="preserve">Mutation protections: </w:t>
      </w:r>
      <w:r>
        <w:t>CSRF validation is present on reviewed state-changing routes. JSON parsing is now bounded across API routes that consume JSON bodies.</w:t>
      </w:r>
    </w:p>
    <w:p>
      <w:pPr>
        <w:pStyle w:val="ListBullet"/>
        <w:spacing w:after="60"/>
      </w:pPr>
      <w:r>
        <w:rPr>
          <w:b/>
        </w:rPr>
        <w:t xml:space="preserve">Dependency audit: </w:t>
      </w:r>
      <w:r>
        <w:t>npm audit and npm audit --omit=dev each reported zero known vulnerabilities in the current dependency lockfile at review time.</w:t>
      </w:r>
    </w:p>
    <w:p>
      <w:pPr>
        <w:pStyle w:val="ListBullet"/>
        <w:spacing w:after="60"/>
      </w:pPr>
      <w:r>
        <w:rPr>
          <w:b/>
        </w:rPr>
        <w:t xml:space="preserve">Static source checks: </w:t>
      </w:r>
      <w:r>
        <w:t>The source scan did not find eval, dangerouslySetInnerHTML, or application child_process use. Raw SQL statements observed in the review were fixed maintenance/import-lock statements rather than user-composed SQL.</w:t>
      </w:r>
    </w:p>
    <w:p>
      <w:pPr>
        <w:pStyle w:val="ListBullet"/>
        <w:spacing w:after="60"/>
      </w:pPr>
      <w:r>
        <w:rPr>
          <w:b/>
        </w:rPr>
        <w:t xml:space="preserve">Rate-limit deployment behavior: </w:t>
      </w:r>
      <w:r>
        <w:t>The application requires Redis for production rate limiting and fails closed when the shared store is missing or unavailable. Forwarded client IP headers are only trusted when TRUST_PROXY is enabled.</w:t>
      </w:r>
    </w:p>
    <w:p>
      <w:pPr>
        <w:pStyle w:val="Heading1"/>
      </w:pPr>
      <w:r>
        <w:t>Verification results</w:t>
      </w:r>
    </w:p>
    <w:tbl>
      <w:tblPr>
        <w:tblW w:type="auto" w:w="0"/>
        <w:jc w:val="center"/>
        <w:tblLayout w:type="fixed"/>
        <w:tblLook w:firstColumn="1" w:firstRow="1" w:lastColumn="0" w:lastRow="0" w:noHBand="0" w:noVBand="1" w:val="04A0"/>
      </w:tblPr>
      <w:tblGrid>
        <w:gridCol w:w="3389"/>
        <w:gridCol w:w="3389"/>
        <w:gridCol w:w="3389"/>
      </w:tblGrid>
      <w:tr>
        <w:tc>
          <w:tcPr>
            <w:tcW w:type="dxa" w:w="2232"/>
            <w:shd w:fill="23415C"/>
            <w:tcBorders>
              <w:top w:val="single" w:sz="4" w:color="D9E0E6"/>
              <w:left w:val="single" w:sz="4" w:color="D9E0E6"/>
              <w:bottom w:val="single" w:sz="4" w:color="D9E0E6"/>
              <w:right w:val="single" w:sz="4" w:color="D9E0E6"/>
              <w:insideH w:val="single" w:sz="4" w:color="D9E0E6"/>
              <w:insideV w:val="single" w:sz="4" w:color="D9E0E6"/>
            </w:tcBorders>
          </w:tcPr>
          <w:p>
            <w:r>
              <w:rPr>
                <w:b/>
                <w:color w:val="FFFFFF"/>
                <w:sz w:val="16"/>
              </w:rPr>
              <w:t>Check</w:t>
            </w:r>
          </w:p>
        </w:tc>
        <w:tc>
          <w:tcPr>
            <w:tcW w:type="dxa" w:w="1440"/>
            <w:shd w:fill="23415C"/>
            <w:tcBorders>
              <w:top w:val="single" w:sz="4" w:color="D9E0E6"/>
              <w:left w:val="single" w:sz="4" w:color="D9E0E6"/>
              <w:bottom w:val="single" w:sz="4" w:color="D9E0E6"/>
              <w:right w:val="single" w:sz="4" w:color="D9E0E6"/>
              <w:insideH w:val="single" w:sz="4" w:color="D9E0E6"/>
              <w:insideV w:val="single" w:sz="4" w:color="D9E0E6"/>
            </w:tcBorders>
          </w:tcPr>
          <w:p>
            <w:r>
              <w:rPr>
                <w:b/>
                <w:color w:val="FFFFFF"/>
                <w:sz w:val="16"/>
              </w:rPr>
              <w:t>Result</w:t>
            </w:r>
          </w:p>
        </w:tc>
        <w:tc>
          <w:tcPr>
            <w:tcW w:type="dxa" w:w="6566"/>
            <w:shd w:fill="23415C"/>
            <w:tcBorders>
              <w:top w:val="single" w:sz="4" w:color="D9E0E6"/>
              <w:left w:val="single" w:sz="4" w:color="D9E0E6"/>
              <w:bottom w:val="single" w:sz="4" w:color="D9E0E6"/>
              <w:right w:val="single" w:sz="4" w:color="D9E0E6"/>
              <w:insideH w:val="single" w:sz="4" w:color="D9E0E6"/>
              <w:insideV w:val="single" w:sz="4" w:color="D9E0E6"/>
            </w:tcBorders>
          </w:tcPr>
          <w:p>
            <w:r>
              <w:rPr>
                <w:b/>
                <w:color w:val="FFFFFF"/>
                <w:sz w:val="16"/>
              </w:rPr>
              <w:t>Evidence / limit</w:t>
            </w:r>
          </w:p>
        </w:tc>
      </w:tr>
      <w:tr>
        <w:tc>
          <w:tcPr>
            <w:tcW w:type="dxa" w:w="2232"/>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6"/>
              </w:rPr>
              <w:t>Type check</w:t>
            </w:r>
          </w:p>
        </w:tc>
        <w:tc>
          <w:tcPr>
            <w:tcW w:type="dxa" w:w="1440"/>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6"/>
              </w:rPr>
              <w:t>PASS</w:t>
            </w:r>
          </w:p>
        </w:tc>
        <w:tc>
          <w:tcPr>
            <w:tcW w:type="dxa" w:w="6566"/>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6"/>
              </w:rPr>
              <w:t>npm run typecheck completed successfully after the code fixes.</w:t>
            </w:r>
          </w:p>
        </w:tc>
      </w:tr>
      <w:tr>
        <w:tc>
          <w:tcPr>
            <w:tcW w:type="dxa" w:w="2232"/>
            <w:vAlign w:val="center"/>
            <w:shd w:fill="F2F6F9"/>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6"/>
              </w:rPr>
              <w:t>Dependency audit</w:t>
            </w:r>
          </w:p>
        </w:tc>
        <w:tc>
          <w:tcPr>
            <w:tcW w:type="dxa" w:w="1440"/>
            <w:vAlign w:val="center"/>
            <w:shd w:fill="F2F6F9"/>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6"/>
              </w:rPr>
              <w:t>PASS</w:t>
            </w:r>
          </w:p>
        </w:tc>
        <w:tc>
          <w:tcPr>
            <w:tcW w:type="dxa" w:w="6566"/>
            <w:vAlign w:val="center"/>
            <w:shd w:fill="F2F6F9"/>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6"/>
              </w:rPr>
              <w:t>npm audit and npm audit --omit=dev both reported 0 vulnerabilities.</w:t>
            </w:r>
          </w:p>
        </w:tc>
      </w:tr>
      <w:tr>
        <w:tc>
          <w:tcPr>
            <w:tcW w:type="dxa" w:w="2232"/>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6"/>
              </w:rPr>
              <w:t>API integration tests</w:t>
            </w:r>
          </w:p>
        </w:tc>
        <w:tc>
          <w:tcPr>
            <w:tcW w:type="dxa" w:w="1440"/>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6"/>
              </w:rPr>
              <w:t>NOT RUN</w:t>
            </w:r>
          </w:p>
        </w:tc>
        <w:tc>
          <w:tcPr>
            <w:tcW w:type="dxa" w:w="6566"/>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6"/>
              </w:rPr>
              <w:t>The Vitest global setup can use DATABASE_URL when TEST_DATABASE_URL is unset and the suites modify database records. A disposable database was not confirmed.</w:t>
            </w:r>
          </w:p>
        </w:tc>
      </w:tr>
      <w:tr>
        <w:tc>
          <w:tcPr>
            <w:tcW w:type="dxa" w:w="2232"/>
            <w:vAlign w:val="center"/>
            <w:shd w:fill="F2F6F9"/>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6"/>
              </w:rPr>
              <w:t>Production build</w:t>
            </w:r>
          </w:p>
        </w:tc>
        <w:tc>
          <w:tcPr>
            <w:tcW w:type="dxa" w:w="1440"/>
            <w:vAlign w:val="center"/>
            <w:shd w:fill="F2F6F9"/>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6"/>
              </w:rPr>
              <w:t>NOT RUN</w:t>
            </w:r>
          </w:p>
        </w:tc>
        <w:tc>
          <w:tcPr>
            <w:tcW w:type="dxa" w:w="6566"/>
            <w:vAlign w:val="center"/>
            <w:shd w:fill="F2F6F9"/>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6"/>
              </w:rPr>
              <w:t>No build was run as part of this remediation pass. Earlier Windows spawn EPERM environment concerns require a suitable local/Linux execution environment to verify a clean build.</w:t>
            </w:r>
          </w:p>
        </w:tc>
      </w:tr>
      <w:tr>
        <w:tc>
          <w:tcPr>
            <w:tcW w:type="dxa" w:w="2232"/>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6"/>
              </w:rPr>
              <w:t>Live penetration test</w:t>
            </w:r>
          </w:p>
        </w:tc>
        <w:tc>
          <w:tcPr>
            <w:tcW w:type="dxa" w:w="1440"/>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6"/>
              </w:rPr>
              <w:t>NOT RUN</w:t>
            </w:r>
          </w:p>
        </w:tc>
        <w:tc>
          <w:tcPr>
            <w:tcW w:type="dxa" w:w="6566"/>
            <w:vAlign w:val="center"/>
            <w:tcBorders>
              <w:top w:val="single" w:sz="4" w:color="D9E0E6"/>
              <w:left w:val="single" w:sz="4" w:color="D9E0E6"/>
              <w:bottom w:val="single" w:sz="4" w:color="D9E0E6"/>
              <w:right w:val="single" w:sz="4" w:color="D9E0E6"/>
              <w:insideH w:val="single" w:sz="4" w:color="D9E0E6"/>
              <w:insideV w:val="single" w:sz="4" w:color="D9E0E6"/>
            </w:tcBorders>
          </w:tcPr>
          <w:p>
            <w:pPr>
              <w:spacing w:after="40" w:before="40"/>
            </w:pPr>
            <w:r>
              <w:rPr>
                <w:sz w:val="16"/>
              </w:rPr>
              <w:t>No deployed target or isolated runtime was provided for safe end-to-end attack simulation.</w:t>
            </w:r>
          </w:p>
        </w:tc>
      </w:tr>
    </w:tbl>
    <w:p>
      <w:pPr>
        <w:pStyle w:val="Heading1"/>
      </w:pPr>
      <w:r>
        <w:t>Deployment actions still required</w:t>
      </w:r>
    </w:p>
    <w:p>
      <w:pPr>
        <w:pStyle w:val="ListBullet"/>
      </w:pPr>
      <w:r>
        <w:t>Set JWT_SECRET to a unique cryptographically random value of at least 32 characters in every deployed environment. Do not use the development fallback.</w:t>
      </w:r>
    </w:p>
    <w:p>
      <w:pPr>
        <w:pStyle w:val="ListBullet"/>
      </w:pPr>
      <w:r>
        <w:t>Configure REDIS_URL in production. Confirm the service is reachable and that production rate limits fail closed when Redis is unavailable.</w:t>
      </w:r>
    </w:p>
    <w:p>
      <w:pPr>
        <w:pStyle w:val="ListBullet"/>
      </w:pPr>
      <w:r>
        <w:t>Set TRUST_PROXY=true only when the directly connected proxy replaces client-supplied X-Forwarded-For. Leave it unset for direct exposure.</w:t>
      </w:r>
    </w:p>
    <w:p>
      <w:pPr>
        <w:pStyle w:val="ListBullet"/>
      </w:pPr>
      <w:r>
        <w:t>Run the API test suite against a disposable database and run a full production build in the intended Linux/CI environment. Do not point test setup at production or a shared development database.</w:t>
      </w:r>
    </w:p>
    <w:p>
      <w:pPr>
        <w:pStyle w:val="ListBullet"/>
      </w:pPr>
      <w:r>
        <w:t>Exercise the updated upload limits and head-technician list scoping through the real hosting proxy before release.</w:t>
      </w:r>
    </w:p>
    <w:p>
      <w:pPr>
        <w:spacing w:before="200"/>
      </w:pPr>
      <w:r>
        <w:rPr>
          <w:b/>
        </w:rPr>
        <w:t xml:space="preserve">Files changed for this remediation pass: </w:t>
      </w:r>
      <w:r>
        <w:t>src/lib/auth-jwt.ts, src/lib/requestBody.ts, src/middleware.ts, src/app/api/assets/import/route.ts, src/app/api/assets/import/confirm/route.ts, src/app/api/asset-loans/route.ts, src/app/api/asset-requests/route.ts, and SECURITY.md.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Lab Asset Management  |  Security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2F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