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F4E79"/>
          <w:spacing w:val="80"/>
          <w:sz w:val="36"/>
          <w:szCs w:val="36"/>
        </w:rPr>
        <w:t xml:space="preserve">FINANCIAL PLANNING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C84B2F"/>
          <w:sz w:val="28"/>
          <w:szCs w:val="28"/>
        </w:rPr>
        <w:t xml:space="preserve">GuruBantu AI</w:t>
      </w:r>
    </w:p>
    <w:p>
      <w:pPr>
        <w:pBdr>
          <w:bottom w:val="single" w:color="C84B2F" w:sz="4"/>
        </w:pBdr>
        <w:spacing w:after="0" w:before="0"/>
        <w:jc w:val="center"/>
      </w:pPr>
      <w:r>
        <w:rPr>
          <w:rFonts w:ascii="Arial" w:cs="Arial" w:eastAsia="Arial" w:hAnsi="Arial"/>
          <w:i/>
          <w:iCs/>
          <w:color w:val="737373"/>
          <w:sz w:val="18"/>
          <w:szCs w:val="18"/>
        </w:rPr>
        <w:t xml:space="preserve">Proyeksi Keuangan 90 Hari  ·  3 Skenario  ·  v1.0</w:t>
      </w:r>
    </w:p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01  Ringkasan Keuangan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left w:val="single" w:color="2E75B6" w:sz="16"/>
        </w:pBdr>
        <w:shd w:fill="EBF3FB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1F4E79"/>
          <w:sz w:val="19"/>
          <w:szCs w:val="19"/>
        </w:rPr>
        <w:t xml:space="preserve">GuruBantu AI memiliki struktur biaya yang sangat ringan — mayoritas biaya bersifat variabel (hanya keluar jika ada user yang aktif). Break-even point sangat rendah dan dapat dicapai bahkan di bulan pertama dengan target konservatif sekalipun.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2E75B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MRR Bulan 1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B8860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MRR Bulan 2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A7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MRR Bulan 3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Net Margin</w:t>
            </w:r>
          </w:p>
        </w:tc>
      </w:tr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3F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8"/>
                <w:szCs w:val="28"/>
              </w:rPr>
              <w:t xml:space="preserve">Rp1,6 juta</w:t>
            </w:r>
          </w:p>
        </w:tc>
        <w:tc>
          <w:tcPr>
            <w:tcBorders>
              <w:top w:val="single" w:color="B8860B" w:sz="6"/>
              <w:left w:val="single" w:color="B8860B" w:sz="6"/>
              <w:bottom w:val="single" w:color="B8860B" w:sz="6"/>
              <w:right w:val="single" w:color="B8860B" w:sz="6"/>
            </w:tcBorders>
            <w:shd w:fill="FDF3D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28"/>
                <w:szCs w:val="28"/>
              </w:rPr>
              <w:t xml:space="preserve">Rp6,5 juta</w:t>
            </w:r>
          </w:p>
        </w:tc>
        <w:tc>
          <w:tcPr>
            <w:tcBorders>
              <w:top w:val="single" w:color="1A7A4A" w:sz="6"/>
              <w:left w:val="single" w:color="1A7A4A" w:sz="6"/>
              <w:bottom w:val="single" w:color="1A7A4A" w:sz="6"/>
              <w:right w:val="single" w:color="1A7A4A" w:sz="6"/>
            </w:tcBorders>
            <w:shd w:fill="E8F5E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28"/>
                <w:szCs w:val="28"/>
              </w:rPr>
              <w:t xml:space="preserve">Rp16,4 juta</w:t>
            </w:r>
          </w:p>
        </w:tc>
        <w:tc>
          <w:tcPr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EBF3F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8"/>
                <w:szCs w:val="28"/>
              </w:rPr>
              <w:t xml:space="preserve">&gt;89%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02  Asumsi Keuangan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396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Asumsi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Nilai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Penjelasan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Harga Paket Saset (Mingguan)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Rp10.000 / minggu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Setara Rp40.000/bulan jika beli 4x — paling cocok Segmen A, barrier terendah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Harga Paket Basic (Bulanan)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Rp25.000 / bulan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Harga modus WTP dari 22 responden yang bersedia bayar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Harga Paket Pro (Bulanan)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Rp45.000 / bulan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Untuk Segmen B — sudah termasuk fitur HOTS, PMM, Rapor AI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Harga Paket KKG/MGMP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Rp15.000 / orang / bulan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Minimum 10 guru per klaster = Rp150.000/klaster/bulan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Biaya API Gemini per Dokumen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~Rp150 / dokumen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Estimasi konservatif: 1.500 token output × $0.3/1M token × kurs Rp16.000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Rata-rata Dokumen / User / Bulan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10 dokumen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Berdasarkan target North Star Metric — user aktif buat 2–3 dok/minggu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Free-to-Paid Conversion Rate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25%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Target realistis untuk SaaS dengan pain point kuat dan freemium 5 dok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Monthly Churn Rate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8%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Estimasi konservatif untuk SaaS B2C Indonesia bulan 1–3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Distribusi Paket (Bulan 3)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Saset 30% / Basic 50% / Pro 15% / KKG 5%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Asumsi berdasarkan profil Segmen A dominan dan WTP dari validasi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Kurs USD–IDR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Rp16.000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Untuk konversi biaya API Gemini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03  Proyeksi Revenue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Proyeksi berdasarkan distribusi paket dan target user berbayar per bulan: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1000"/>
        <w:gridCol w:w="1000"/>
        <w:gridCol w:w="1000"/>
        <w:gridCol w:w="1000"/>
        <w:gridCol w:w="176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Periode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2E75B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
Saset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2E75B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
Basic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6A3EA1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
Pro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0A7C8C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Klaster
KKG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
User Bayar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A7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Gross
Revenue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C84B2F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Estimasi Biaya
Variabel</w:t>
            </w:r>
          </w:p>
        </w:tc>
      </w:tr>
      <w:tr>
        <w:tc>
          <w:tcPr>
            <w:tcBorders>
              <w:top w:val="single" w:color="2E75B6" w:sz="5"/>
              <w:left w:val="single" w:color="2E75B6" w:sz="5"/>
              <w:bottom w:val="single" w:color="2E75B6" w:sz="5"/>
              <w:right w:val="single" w:color="2E75B6" w:sz="5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Bulan 1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15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25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A7C8C"/>
                <w:sz w:val="18"/>
                <w:szCs w:val="18"/>
              </w:rPr>
              <w:t xml:space="preserve">1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50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Rp 1.600.000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C84B2F"/>
                <w:sz w:val="16"/>
                <w:szCs w:val="16"/>
              </w:rPr>
              <w:t xml:space="preserve">API: Rp 75.000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4B2F"/>
                <w:sz w:val="16"/>
                <w:szCs w:val="16"/>
              </w:rPr>
              <w:t xml:space="preserve">PG: Rp 24.000</w:t>
            </w:r>
          </w:p>
        </w:tc>
      </w:tr>
      <w:tr>
        <w:tc>
          <w:tcPr>
            <w:tcBorders>
              <w:top w:val="single" w:color="2E75B6" w:sz="5"/>
              <w:left w:val="single" w:color="2E75B6" w:sz="5"/>
              <w:bottom w:val="single" w:color="2E75B6" w:sz="5"/>
              <w:right w:val="single" w:color="2E75B6" w:sz="5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Bulan 2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60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100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8"/>
                <w:szCs w:val="18"/>
              </w:rPr>
              <w:t xml:space="preserve">25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A7C8C"/>
                <w:sz w:val="18"/>
                <w:szCs w:val="18"/>
              </w:rPr>
              <w:t xml:space="preserve">3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200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Rp 6.475.000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C84B2F"/>
                <w:sz w:val="16"/>
                <w:szCs w:val="16"/>
              </w:rPr>
              <w:t xml:space="preserve">API: Rp 300.000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4B2F"/>
                <w:sz w:val="16"/>
                <w:szCs w:val="16"/>
              </w:rPr>
              <w:t xml:space="preserve">PG: Rp 97.125</w:t>
            </w:r>
          </w:p>
        </w:tc>
      </w:tr>
      <w:tr>
        <w:tc>
          <w:tcPr>
            <w:tcBorders>
              <w:top w:val="single" w:color="2E75B6" w:sz="5"/>
              <w:left w:val="single" w:color="2E75B6" w:sz="5"/>
              <w:bottom w:val="single" w:color="2E75B6" w:sz="5"/>
              <w:right w:val="single" w:color="2E75B6" w:sz="5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Bulan 3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150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250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6A3EA1"/>
                <w:sz w:val="18"/>
                <w:szCs w:val="18"/>
              </w:rPr>
              <w:t xml:space="preserve">75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A7C8C"/>
                <w:sz w:val="18"/>
                <w:szCs w:val="18"/>
              </w:rPr>
              <w:t xml:space="preserve">5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500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Rp 16.375.000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CEAE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color w:val="C84B2F"/>
                <w:sz w:val="16"/>
                <w:szCs w:val="16"/>
              </w:rPr>
              <w:t xml:space="preserve">API: Rp 750.000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4B2F"/>
                <w:sz w:val="16"/>
                <w:szCs w:val="16"/>
              </w:rPr>
              <w:t xml:space="preserve">PG: Rp 245.625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left w:val="single" w:color="2E75B6" w:sz="16"/>
        </w:pBdr>
        <w:shd w:fill="EBF3FB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1F4E79"/>
          <w:sz w:val="19"/>
          <w:szCs w:val="19"/>
        </w:rPr>
        <w:t xml:space="preserve">Paket KKG/MGMP meski user-nya sedikit, kontribusi revenue-nya signifikan karena minimum 10 guru per klaster. Fokuskan effort sales ke ketua klaster sebagai decision maker tunggal.</w:t>
      </w:r>
    </w:p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04  Struktur Biaya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1400"/>
        <w:gridCol w:w="1400"/>
        <w:gridCol w:w="1400"/>
        <w:gridCol w:w="116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Komponen Biaya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2E75B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Bulan 1 Min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2E75B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Bulan 1 Maks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B8860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Bulan 2 Maks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A7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Bulan 3 Maks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Keterangan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Gemini API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Rp 150.000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Rp 300.000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DF3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18"/>
                <w:szCs w:val="18"/>
              </w:rPr>
              <w:t xml:space="preserve">Rp 600.000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Rp 1.200.000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Naik seiring dokumen yang di-generate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Hosting (Vercel)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Rp 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Rp 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DF3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18"/>
                <w:szCs w:val="18"/>
              </w:rPr>
              <w:t xml:space="preserve">Rp 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Rp 200.000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Free tier cukup s/d ~1.000 req/hari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Database (Supabase)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Rp 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Rp 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DF3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18"/>
                <w:szCs w:val="18"/>
              </w:rPr>
              <w:t xml:space="preserve">Rp 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Rp 150.000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Free tier 500MB cukup s/d ~500 user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Domain &amp; SSL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Rp 15.000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Rp 15.000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DF3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18"/>
                <w:szCs w:val="18"/>
              </w:rPr>
              <w:t xml:space="preserve">Rp 15.000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Rp 15.000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~Rp180rb/tahun = Rp15rb/bulan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Payment Gateway (Midtrans)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Rp 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Rp 30.000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DF3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18"/>
                <w:szCs w:val="18"/>
              </w:rPr>
              <w:t xml:space="preserve">Rp 100.000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Rp 300.000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1.5% dari revenue — tidak ada biaya tetap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Email (Resend.com)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Rp 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Rp 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DF3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18"/>
                <w:szCs w:val="18"/>
              </w:rPr>
              <w:t xml:space="preserve">Rp 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Rp 50.000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Free 3.000 email/bln — cukup s/d 1.000 user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Marketing &amp; Konten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Rp 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Rp 100.000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DF3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18"/>
                <w:szCs w:val="18"/>
              </w:rPr>
              <w:t xml:space="preserve">Rp 200.000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Rp 300.000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Mayoritas organik — biaya untuk kolaborasi influencer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Tools Operasional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Rp 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8"/>
                <w:szCs w:val="18"/>
              </w:rPr>
              <w:t xml:space="preserve">Rp 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DF3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18"/>
                <w:szCs w:val="18"/>
              </w:rPr>
              <w:t xml:space="preserve">Rp 50.000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Rp 100.000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Notion, Canva, dsb — mostly free tier</w:t>
            </w:r>
          </w:p>
        </w:tc>
      </w:tr>
      <w:tr>
        <w:tc>
          <w:tcPr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BIAYA / BULAN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Rp 165.000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Rp 445.000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DF3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Rp 965.000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Rp 2.315.000</w:t>
            </w:r>
          </w:p>
        </w:tc>
        <w:tc>
          <w:tcPr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EBF3FB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4E79"/>
                <w:sz w:val="17"/>
                <w:szCs w:val="17"/>
              </w:rPr>
              <w:t xml:space="preserve">Break-even: cukup </w:t>
            </w:r>
            <w:r>
              <w:rPr>
                <w:rFonts w:ascii="Arial" w:cs="Arial" w:eastAsia="Arial" w:hAnsi="Arial"/>
                <w:b/>
                <w:bCs/>
                <w:color w:val="1A7A4A"/>
                <w:sz w:val="17"/>
                <w:szCs w:val="17"/>
              </w:rPr>
              <w:t xml:space="preserve">10–20 user berbayar</w:t>
            </w:r>
            <w:r>
              <w:rPr>
                <w:rFonts w:ascii="Arial" w:cs="Arial" w:eastAsia="Arial" w:hAnsi="Arial"/>
                <w:color w:val="1F4E79"/>
                <w:sz w:val="17"/>
                <w:szCs w:val="17"/>
              </w:rPr>
              <w:t xml:space="preserve"> di paket Basic Rp25rb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left w:val="single" w:color="1A7A4A" w:sz="16"/>
        </w:pBdr>
        <w:shd w:fill="E8F5EE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1A7A4A"/>
          <w:sz w:val="19"/>
          <w:szCs w:val="19"/>
        </w:rPr>
        <w:t xml:space="preserve">✅  Total biaya bulan 1 maksimal Rp445.000 — artinya hanya butuh 18 user Basic atau 10 user Pro untuk sudah untung di bulan pertama.</w:t>
      </w:r>
    </w:p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05  Laporan Laba Rugi (P&amp;L) Proyeksi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000"/>
        <w:gridCol w:w="216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2E75B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Bulan 1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B8860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Bulan 2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A7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Bulan 3</w:t>
            </w:r>
          </w:p>
        </w:tc>
      </w:tr>
      <w:tr>
        <w:tc>
          <w:tcPr>
            <w:gridSpan w:val="4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2E75B6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PENDAPATAN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Pendapatan Paket Saset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Rp 600.000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DF3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18"/>
                <w:szCs w:val="18"/>
              </w:rPr>
              <w:t xml:space="preserve">Rp 2.400.000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Rp 6.000.000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Pendapatan Paket Basic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Rp 625.000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DF3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18"/>
                <w:szCs w:val="18"/>
              </w:rPr>
              <w:t xml:space="preserve">Rp 2.500.000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Rp 6.250.000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Pendapatan Paket Pro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Rp 225.000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DF3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18"/>
                <w:szCs w:val="18"/>
              </w:rPr>
              <w:t xml:space="preserve">Rp 1.125.000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Rp 3.375.000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Pendapatan Paket KKG/MGMP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Rp 150.000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DF3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18"/>
                <w:szCs w:val="18"/>
              </w:rPr>
              <w:t xml:space="preserve">Rp 450.000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Rp 750.000</w:t>
            </w:r>
          </w:p>
        </w:tc>
      </w:tr>
      <w:tr>
        <w:tc>
          <w:tcPr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F4E7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GROSS REVENUE</w:t>
            </w:r>
          </w:p>
        </w:tc>
        <w:tc>
          <w:tcPr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F4E7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Rp 1.600.000</w:t>
            </w:r>
          </w:p>
        </w:tc>
        <w:tc>
          <w:tcPr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F4E7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Rp 6.475.000</w:t>
            </w:r>
          </w:p>
        </w:tc>
        <w:tc>
          <w:tcPr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F4E7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Rp 16.375.000</w:t>
            </w:r>
          </w:p>
        </w:tc>
      </w:tr>
      <w:tr>
        <w:tc>
          <w:tcPr>
            <w:gridSpan w:val="4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C84B2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BIAYA VARIABEL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Biaya API Gemini (per dokumen)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Rp 75.000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DF3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18"/>
                <w:szCs w:val="18"/>
              </w:rPr>
              <w:t xml:space="preserve">Rp 300.000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Rp 750.000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Biaya Payment Gateway (1.5%)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Rp 24.000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DF3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18"/>
                <w:szCs w:val="18"/>
              </w:rPr>
              <w:t xml:space="preserve">Rp 97.125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Rp 245.625</w:t>
            </w:r>
          </w:p>
        </w:tc>
      </w:tr>
      <w:tr>
        <w:tc>
          <w:tcPr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C84B2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BIAYA VARIABEL</w:t>
            </w:r>
          </w:p>
        </w:tc>
        <w:tc>
          <w:tcPr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C84B2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Rp 99.000</w:t>
            </w:r>
          </w:p>
        </w:tc>
        <w:tc>
          <w:tcPr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C84B2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Rp 397.125</w:t>
            </w:r>
          </w:p>
        </w:tc>
        <w:tc>
          <w:tcPr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C84B2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Rp 995.625</w:t>
            </w:r>
          </w:p>
        </w:tc>
      </w:tr>
      <w:tr>
        <w:tc>
          <w:tcPr>
            <w:gridSpan w:val="4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A7A4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GROSS PROFIT</w:t>
            </w:r>
          </w:p>
        </w:tc>
      </w:tr>
      <w:tr>
        <w:tc>
          <w:tcPr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F4E7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GROSS PROFIT</w:t>
            </w:r>
          </w:p>
        </w:tc>
        <w:tc>
          <w:tcPr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F4E7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Rp 1.501.000</w:t>
            </w:r>
          </w:p>
        </w:tc>
        <w:tc>
          <w:tcPr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F4E7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Rp 6.077.875</w:t>
            </w:r>
          </w:p>
        </w:tc>
        <w:tc>
          <w:tcPr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F4E7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Rp 15.379.375</w:t>
            </w:r>
          </w:p>
        </w:tc>
      </w:tr>
      <w:tr>
        <w:tc>
          <w:tcPr>
            <w:gridSpan w:val="4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C84B2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BIAYA TETAP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Hosting &amp; Infrastruktur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Rp 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DF3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18"/>
                <w:szCs w:val="18"/>
              </w:rPr>
              <w:t xml:space="preserve">Rp 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Rp 350.000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Domain &amp; SSL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Rp 15.000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DF3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18"/>
                <w:szCs w:val="18"/>
              </w:rPr>
              <w:t xml:space="preserve">Rp 15.000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Rp 15.000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Marketing &amp; Konten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Rp 50.000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DF3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18"/>
                <w:szCs w:val="18"/>
              </w:rPr>
              <w:t xml:space="preserve">Rp 150.000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Rp 250.000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    Tools Operasional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18"/>
                <w:szCs w:val="18"/>
              </w:rPr>
              <w:t xml:space="preserve">Rp 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DF3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18"/>
                <w:szCs w:val="18"/>
              </w:rPr>
              <w:t xml:space="preserve">Rp 25.000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8"/>
                <w:szCs w:val="18"/>
              </w:rPr>
              <w:t xml:space="preserve">Rp 50.000</w:t>
            </w:r>
          </w:p>
        </w:tc>
      </w:tr>
      <w:tr>
        <w:tc>
          <w:tcPr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C84B2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BIAYA TETAP</w:t>
            </w:r>
          </w:p>
        </w:tc>
        <w:tc>
          <w:tcPr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C84B2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Rp 65.000</w:t>
            </w:r>
          </w:p>
        </w:tc>
        <w:tc>
          <w:tcPr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C84B2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Rp 190.000</w:t>
            </w:r>
          </w:p>
        </w:tc>
        <w:tc>
          <w:tcPr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C84B2F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Rp 665.000</w:t>
            </w:r>
          </w:p>
        </w:tc>
      </w:tr>
      <w:tr>
        <w:tc>
          <w:tcPr>
            <w:gridSpan w:val="4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A7A4A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NET PROFIT (EBITDA)</w:t>
            </w:r>
          </w:p>
        </w:tc>
      </w:tr>
      <w:tr>
        <w:tc>
          <w:tcPr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F4E7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NET PROFIT</w:t>
            </w:r>
          </w:p>
        </w:tc>
        <w:tc>
          <w:tcPr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F4E7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Rp 1.436.000</w:t>
            </w:r>
          </w:p>
        </w:tc>
        <w:tc>
          <w:tcPr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F4E7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Rp 5.887.875</w:t>
            </w:r>
          </w:p>
        </w:tc>
        <w:tc>
          <w:tcPr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F4E7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Rp 14.714.375</w:t>
            </w:r>
          </w:p>
        </w:tc>
      </w:tr>
      <w:tr>
        <w:tc>
          <w:tcPr>
            <w:gridSpan w:val="4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737373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MARGIN</w:t>
            </w:r>
          </w:p>
        </w:tc>
      </w:tr>
      <w:tr>
        <w:tc>
          <w:tcPr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F4E79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NET MARGIN</w:t>
            </w:r>
          </w:p>
        </w:tc>
        <w:tc>
          <w:tcPr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F4E7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F4E7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90.9%</w:t>
            </w:r>
          </w:p>
        </w:tc>
        <w:tc>
          <w:tcPr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1F4E79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89.9%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left w:val="single" w:color="C84B2F" w:sz="16"/>
        </w:pBdr>
        <w:shd w:fill="FCEAE6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C84B2F"/>
          <w:sz w:val="19"/>
          <w:szCs w:val="19"/>
        </w:rPr>
        <w:t xml:space="preserve">⚠️  Proyeksi ini mengasumsikan churn rate 8%/bulan. Jika churn lebih tinggi dari 15%, revisit product-market fit sebelum agresif marketing.</w:t>
      </w:r>
    </w:p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06  Analisis Break-Even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Metrik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B8860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Konservatif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2E75B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Realistis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A7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Optimistis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Break-even User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DF3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18 user Basic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8860B"/>
                <w:sz w:val="16"/>
                <w:szCs w:val="16"/>
              </w:rPr>
              <w:t xml:space="preserve">atau 7 user Pro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25 user Basic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16"/>
                <w:szCs w:val="16"/>
              </w:rPr>
              <w:t xml:space="preserve">atau 10 user Pro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40 user mix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A7A4A"/>
                <w:sz w:val="16"/>
                <w:szCs w:val="16"/>
              </w:rPr>
              <w:t xml:space="preserve">atau 1 klaster KKG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Estimasi Tercapai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DF3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Hari ke-14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Hari ke-21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Hari ke-7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Revenue saat BE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DF3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Rp1,1 juta/bln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Rp1,6 juta/bln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Rp2,5 juta/bln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Catatan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DF3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Asumsi biaya tetap Rp200rb + variabel Rp250rb. Sangat mudah dicapai dari 30 warm leads validasi.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Termasuk biaya marketing Rp100rb dan tools tambahan. Dicapai jika 1 grup Facebook Group responsif.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Jika 1 ketua MGMP langsung setuju dan onboard klasternya. Satu keputusan = 10–30 guru sekaligus.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left w:val="single" w:color="2E75B6" w:sz="16"/>
        </w:pBdr>
        <w:shd w:fill="EBF3FB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1F4E79"/>
          <w:sz w:val="19"/>
          <w:szCs w:val="19"/>
        </w:rPr>
        <w:t xml:space="preserve">Break-even tercapai sangat cepat karena struktur biaya variabel yang ringan. Bahkan skenario paling konservatif pun sudah positif di hari ke-14 — jauh sebelum akhir bulan pertama.</w:t>
      </w:r>
    </w:p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07  Unit Economics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Metrik per unit user — kunci untuk menilai efisiensi model bisnis jangka panjang: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53"/>
        <w:gridCol w:w="2053"/>
        <w:gridCol w:w="2054"/>
      </w:tblGrid>
      <w:tr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F4E79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Metrik Unit Economics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1A7A4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Optimistis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2E75B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Realistis</w:t>
            </w:r>
          </w:p>
        </w:tc>
        <w:tc>
          <w:tcPr>
            <w:tcBorders>
              <w:top w:val="single" w:color="FFFFFF" w:sz="8"/>
              <w:left w:val="single" w:color="FFFFFF" w:sz="8"/>
              <w:bottom w:val="single" w:color="FFFFFF" w:sz="8"/>
              <w:right w:val="single" w:color="FFFFFF" w:sz="8"/>
            </w:tcBorders>
            <w:shd w:fill="B8860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1A2E"/>
                <w:sz w:val="18"/>
                <w:szCs w:val="18"/>
              </w:rPr>
              <w:t xml:space="preserve">Konservatif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CAC (Cost per Acquired Customer)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Rp5.000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Rp8.000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DF3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Rp15.000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ARPU (Avg Revenue per User / Bulan)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Rp32.000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Rp29.000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DF3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Rp27.000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Gross Margin per User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~Rp29.500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~Rp26.500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DF3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~Rp24.000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LTV (Lifetime Value) @ 8% churn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Rp362.500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Rp331.250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DF3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Rp300.000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LTV/CAC Ratio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72.5x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41.4x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DF3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20x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Payback Period (bulan)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&lt;1 bulan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&lt;1 bulan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DF3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&lt;1 bulan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Monthly Churn Rate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5%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8%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DF3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12%</w:t>
            </w:r>
          </w:p>
        </w:tc>
      </w:tr>
      <w:tr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AF7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Avg Customer Lifetime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8F5E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A7A4A"/>
                <w:sz w:val="18"/>
                <w:szCs w:val="18"/>
              </w:rPr>
              <w:t xml:space="preserve">20 bulan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12.5 bulan</w:t>
            </w:r>
          </w:p>
        </w:tc>
        <w:tc>
          <w:tcPr>
            <w:tcBorders>
              <w:top w:val="single" w:color="C8BFB0" w:sz="4"/>
              <w:left w:val="single" w:color="C8BFB0" w:sz="4"/>
              <w:bottom w:val="single" w:color="C8BFB0" w:sz="4"/>
              <w:right w:val="single" w:color="C8BFB0" w:sz="4"/>
            </w:tcBorders>
            <w:shd w:fill="FDF3D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8.3 bulan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left w:val="single" w:color="1A7A4A" w:sz="16"/>
        </w:pBdr>
        <w:shd w:fill="E8F5EE" w:val="clear"/>
        <w:spacing w:after="80" w:before="80"/>
        <w:ind w:left="360" w:right="360"/>
      </w:pPr>
      <w:r>
        <w:rPr>
          <w:rFonts w:ascii="Arial" w:cs="Arial" w:eastAsia="Arial" w:hAnsi="Arial"/>
          <w:i/>
          <w:iCs/>
          <w:color w:val="1A7A4A"/>
          <w:sz w:val="19"/>
          <w:szCs w:val="19"/>
        </w:rPr>
        <w:t xml:space="preserve">✅  LTV/CAC ratio &gt;20x di semua skenario adalah angka yang sangat sehat. Industri SaaS umumnya target LTV/CAC &gt;3x. Ini menunjukkan model bisnis sangat efisien secara unit economics.</w:t>
      </w:r>
    </w:p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C84B2F" w:sz="6"/>
        </w:pBdr>
        <w:shd w:fill="1F4E79" w:val="clear"/>
        <w:spacing w:after="120" w:before="360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08  Risiko Keuangan &amp; Mitigasi</w:t>
      </w:r>
    </w:p>
    <w:p>
      <w:pPr>
        <w:spacing w:after="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2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⚠️  Risiko Utama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Biaya API Gemini naik — mitigasi: monitor penggunaan token per request, tambahkan caching untuk prompt yang serupa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Churn tinggi di bulan pertama — mitigasi: onboarding ketat di 7 hari pertama, cek weekly active usage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Konversi free-to-paid rendah — mitigasi: persingkat periode trial atau kurangi kuota gratis dari 5 ke 3 dokumen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Revenue terpusat di 1–2 klaster KKG besar — mitigasi: diversifikasi ke minimal 5 klaster berbeda di bulan ke-2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Kurs USD naik (biaya Gemini API) — mitigasi: set budget cap bulanan di dashboard Google Cloud</w:t>
      </w:r>
    </w:p>
    <w:p>
      <w:pPr>
        <w:spacing w:after="0" w:before="12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Style w:val="Heading2"/>
        <w:pBdr>
          <w:bottom w:val="single" w:color="2E75B6" w:sz="4"/>
        </w:pBdr>
        <w:spacing w:after="100" w:before="2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🚦  Indikator Peringatan Dini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Week-2 retention &lt;30% → masalah di produk, bukan marketing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CAC &gt;Rp25.000 → channel akuisisi tidak efisien, evaluasi ulang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Churn &gt;15%/bulan → ada mismatch antara ekspektasi user dan value nyata produk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color w:val="1A1A2E"/>
          <w:sz w:val="19"/>
          <w:szCs w:val="19"/>
        </w:rPr>
        <w:t xml:space="preserve">Free-to-paid &lt;10% → pricing atau freemium threshold perlu dievaluasi</w:t>
      </w:r>
    </w:p>
    <w:p>
      <w:pPr>
        <w:spacing w:after="0" w:before="20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/>
      </w:r>
    </w:p>
    <w:p>
      <w:pPr>
        <w:pBdr>
          <w:top w:val="single" w:color="C8BFB0" w:sz="2"/>
        </w:pBdr>
        <w:spacing w:before="200"/>
        <w:jc w:val="center"/>
      </w:pPr>
      <w:r>
        <w:rPr>
          <w:rFonts w:ascii="Arial" w:cs="Arial" w:eastAsia="Arial" w:hAnsi="Arial"/>
          <w:color w:val="737373"/>
          <w:sz w:val="16"/>
          <w:szCs w:val="16"/>
        </w:rPr>
        <w:t xml:space="preserve">GuruBantu AI  ·  Financial Planning  ·  Dokumen Internal  ·  v1.0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2"/>
      </w:pBdr>
      <w:spacing w:before="80"/>
      <w:jc w:val="center"/>
    </w:pPr>
    <w:r>
      <w:rPr>
        <w:rFonts w:ascii="Arial" w:cs="Arial" w:eastAsia="Arial" w:hAnsi="Arial"/>
        <w:color w:val="737373"/>
        <w:sz w:val="16"/>
        <w:szCs w:val="16"/>
      </w:rPr>
      <w:t xml:space="preserve">Halaman </w:t>
    </w:r>
    <w:r>
      <w:rPr>
        <w:rFonts w:ascii="Arial" w:cs="Arial" w:eastAsia="Arial" w:hAnsi="Arial"/>
        <w:color w:val="73737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37373"/>
        <w:sz w:val="16"/>
        <w:szCs w:val="16"/>
      </w:rPr>
      <w:t xml:space="preserve"> dari </w:t>
    </w:r>
    <w:r>
      <w:rPr>
        <w:rFonts w:ascii="Arial" w:cs="Arial" w:eastAsia="Arial" w:hAnsi="Arial"/>
        <w:color w:val="73737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/>
      </w:pBdr>
      <w:spacing w:after="80"/>
      <w:jc w:val="right"/>
    </w:pPr>
    <w:r>
      <w:rPr>
        <w:rFonts w:ascii="Arial" w:cs="Arial" w:eastAsia="Arial" w:hAnsi="Arial"/>
        <w:color w:val="737373"/>
        <w:sz w:val="16"/>
        <w:szCs w:val="16"/>
      </w:rPr>
      <w:t xml:space="preserve">GuruBantu AI  ·  Financial Planning  ·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2026-05-30T11:42:21.075Z</dcterms:created>
  <dcterms:modified xsi:type="dcterms:W3CDTF">2026-05-30T11:42:21.075Z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