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The Agentic Enterprise</w:t>
      </w:r>
    </w:p>
    <w:p>
      <w:pPr>
        <w:pStyle w:val="Subtitle"/>
      </w:pPr>
      <w:r>
        <w:t xml:space="preserve">A Blueprint for AI-Native Business Operations</w:t>
      </w:r>
    </w:p>
    <w:p>
      <w:pPr>
        <w:spacing w:before="800"/>
        <w:jc w:val="center"/>
      </w:pPr>
      <w:r>
        <w:rPr>
          <w:color w:val="444444"/>
          <w:sz w:val="26"/>
          <w:szCs w:val="26"/>
        </w:rPr>
        <w:t xml:space="preserve">Building the Future Enterprise with</w:t>
      </w:r>
    </w:p>
    <w:p>
      <w:pPr>
        <w:spacing w:before="200"/>
        <w:jc w:val="center"/>
      </w:pPr>
      <w:r>
        <w:rPr>
          <w:b/>
          <w:bCs/>
          <w:color w:val="1B365D"/>
          <w:sz w:val="30"/>
          <w:szCs w:val="30"/>
        </w:rPr>
        <w:t xml:space="preserve">Azure + NVIDIA + Azure NetApp Files</w:t>
      </w:r>
    </w:p>
    <w:p>
      <w:pPr>
        <w:spacing w:before="1200"/>
        <w:jc w:val="center"/>
      </w:pPr>
      <w:r>
        <w:rPr>
          <w:color w:val="666666"/>
          <w:sz w:val="22"/>
          <w:szCs w:val="22"/>
        </w:rPr>
        <w:t xml:space="preserve">A Technical White Paper for Enterprise Leaders</w:t>
      </w:r>
    </w:p>
    <w:p>
      <w:pPr>
        <w:spacing w:before="200"/>
        <w:jc w:val="center"/>
      </w:pPr>
      <w:r>
        <w:rPr>
          <w:color w:val="666666"/>
          <w:sz w:val="22"/>
          <w:szCs w:val="22"/>
        </w:rPr>
        <w:t xml:space="preserve">December 2025</w:t>
      </w:r>
    </w:p>
    <w:p>
      <w:r>
        <w:br w:type="page"/>
      </w:r>
    </w:p>
    <w:p>
      <w:pPr>
        <w:pStyle w:val="Heading1"/>
      </w:pPr>
      <w:r>
        <w:t xml:space="preserve">Executive Summary</w:t>
      </w:r>
    </w:p>
    <w:p>
      <w:pPr>
        <w:spacing w:after="200"/>
      </w:pPr>
      <w:r>
        <w:t xml:space="preserve">Enterprise computing is undergoing its most significant transformation since the cloud migration of the 2010s. Just as cloud computing abstracted physical infrastructure into on-demand services, </w:t>
      </w:r>
      <w:r>
        <w:rPr>
          <w:b/>
          <w:bCs/>
        </w:rPr>
        <w:t xml:space="preserve">AI agents are now abstracting applications themselves</w:t>
      </w:r>
      <w:r>
        <w:t xml:space="preserve">, creating a new execution layer where intelligent systems perceive, reason, plan, and act on behalf of the enterprise.</w:t>
      </w:r>
    </w:p>
    <w:p>
      <w:pPr>
        <w:spacing w:after="200"/>
      </w:pPr>
      <w:r>
        <w:t xml:space="preserve">This white paper introduces </w:t>
      </w:r>
      <w:r>
        <w:rPr>
          <w:b/>
          <w:bCs/>
        </w:rPr>
        <w:t xml:space="preserve">ANTS (AI-Agent Native Tactical System)</w:t>
      </w:r>
      <w:r>
        <w:t xml:space="preserve">, a comprehensive blueprint for building the agentic enterprise. ANTS reimagines the enterprise as a digital organism where specialized AI agents serve as the primary execution mechanism, coordinated through event streams and governed by policy-as-code frameworks.</w:t>
      </w:r>
    </w:p>
    <w:p>
      <w:pPr>
        <w:spacing w:after="200"/>
      </w:pPr>
      <w:r>
        <w:t xml:space="preserve">The foundation for this transformation rests on a carefully integrated technology stack that we call the "Better Together" partnership. Microsoft Azure provides the control plane, integration fabric, and enterprise-grade services. NVIDIA delivers accelerated AI inference through optimized microservices and GPU compute. Azure NetApp Files serves as the memory substrate, providing the high-performance, enterprise-grade storage foundation that enables agents to maintain state, accumulate learning, and operate with the reliability that enterprise workloads demand.</w:t>
      </w:r>
    </w:p>
    <w:p>
      <w:pPr>
        <w:pStyle w:val="Quote"/>
      </w:pPr>
      <w:r>
        <w:t xml:space="preserve">"By 2028, 33% of enterprise software applications will include agentic AI, up from less than 1% in 2024, enabling 15% of day-to-day work decisions to be made autonomously." — Gartner, 2024</w:t>
      </w:r>
    </w:p>
    <w:p>
      <w:pPr>
        <w:spacing w:after="200"/>
      </w:pPr>
      <w:r>
        <w:t xml:space="preserve">The opportunity is substantial. JPMorgan has deployed over 450 AI use cases generating more than $1.5 billion in operational value. Walmart's agent systems have reduced support resolution time by 40% and cut fashion production cycles from 18 weeks to days. Manufacturing leaders using digital twin and AI agent integration have compressed simulation cycles from hours to minutes. These are not experimental pilots but production deployments delivering measurable business outcomes.</w:t>
      </w:r>
    </w:p>
    <w:p>
      <w:pPr>
        <w:spacing w:after="200"/>
      </w:pPr>
      <w:r>
        <w:t xml:space="preserve">However, the path forward requires deliberate architecture. Gartner warns that over 40% of agentic AI projects will be canceled by 2027 due to escalating costs, unclear ROI, and inadequate risk controls. Success depends on establishing the right foundation from the start, with governance frameworks, memory architectures, and operational models designed specifically for autonomous AI systems.</w:t>
      </w:r>
    </w:p>
    <w:p>
      <w:pPr>
        <w:spacing w:after="200"/>
      </w:pPr>
      <w:r>
        <w:t xml:space="preserve">This blueprint provides that foundation. It offers enterprise architects, technology leaders, and business executives a practical roadmap for building AI-native operations that deliver autonomous execution with accountability, intelligence grounded in enterprise truth, and systems that can self-heal and self-optimize within defined guardrails.</w:t>
      </w:r>
    </w:p>
    <w:p>
      <w:r>
        <w:br w:type="page"/>
      </w:r>
    </w:p>
    <w:p>
      <w:pPr>
        <w:pStyle w:val="Heading1"/>
      </w:pPr>
      <w:r>
        <w:t xml:space="preserve">The Paradigm Shift: From Applications to Agents</w:t>
      </w:r>
    </w:p>
    <w:p>
      <w:pPr>
        <w:spacing w:after="200"/>
      </w:pPr>
      <w:r>
        <w:t xml:space="preserve">For decades, enterprise software has followed a predictable pattern. Applications encapsulated business logic in rigid workflows. Users navigated menus, filled forms, and triggered predefined processes. Integration meant point-to-point connections between systems, each requiring custom development and ongoing maintenance. The result was an enterprise technology landscape characterized by silos, manual handoffs, and processes optimized for software constraints rather than business outcomes.</w:t>
      </w:r>
    </w:p>
    <w:p>
      <w:pPr>
        <w:spacing w:after="200"/>
      </w:pPr>
      <w:r>
        <w:t xml:space="preserve">The agentic paradigm inverts this relationship. Instead of users adapting to application interfaces, AI agents adapt to business intent. Agents perceive data and events across systems, retrieve relevant context from enterprise knowledge stores, reason about optimal actions, execute through tool calls and API integrations, and learn from outcomes to improve future performance. The application layer becomes infrastructure that agents orchestrate rather than interfaces that humans navigate.</w:t>
      </w:r>
    </w:p>
    <w:p>
      <w:pPr>
        <w:pStyle w:val="Heading2"/>
      </w:pPr>
      <w:r>
        <w:t xml:space="preserve">The Agent Execution Loop</w:t>
      </w:r>
    </w:p>
    <w:p>
      <w:pPr>
        <w:spacing w:after="200"/>
      </w:pPr>
      <w:r>
        <w:t xml:space="preserve">Every AI agent operates through a consistent execution pattern that distinguishes agentic systems from traditional automation and basic AI assistants.</w:t>
      </w:r>
    </w:p>
    <w:p>
      <w:pPr>
        <w:spacing w:after="160"/>
      </w:pPr>
      <w:r>
        <w:rPr>
          <w:b/>
          <w:bCs/>
        </w:rPr>
        <w:t xml:space="preserve">Perception</w:t>
      </w:r>
      <w:r>
        <w:t xml:space="preserve"> encompasses ingesting events, documents, telemetry, video, and other data streams. Agents maintain awareness of enterprise state through continuous monitoring rather than periodic batch processing. A financial agent perceives transaction anomalies as they occur. A manufacturing agent perceives sensor readings indicating equipment degradation. A customer service agent perceives sentiment shifts in real-time communications.</w:t>
      </w:r>
    </w:p>
    <w:p>
      <w:pPr>
        <w:spacing w:after="160"/>
      </w:pPr>
      <w:r>
        <w:rPr>
          <w:b/>
          <w:bCs/>
        </w:rPr>
        <w:t xml:space="preserve">Retrieval</w:t>
      </w:r>
      <w:r>
        <w:t xml:space="preserve"> draws context from the enterprise memory substrate. When an agent encounters a situation requiring action, it retrieves relevant historical decisions, policy documents, procedural runbooks, and accumulated knowledge. This grounding in enterprise truth ensures agents operate with organizational context rather than generic world knowledge alone.</w:t>
      </w:r>
    </w:p>
    <w:p>
      <w:pPr>
        <w:spacing w:after="160"/>
      </w:pPr>
      <w:r>
        <w:rPr>
          <w:b/>
          <w:bCs/>
        </w:rPr>
        <w:t xml:space="preserve">Reasoning and Planning</w:t>
      </w:r>
      <w:r>
        <w:t xml:space="preserve"> apply large language model capabilities to decompose complex goals into actionable steps. Multi-step reasoning allows agents to handle ambiguity, consider multiple approaches, and develop execution plans that account for constraints and dependencies. Planning transforms high-level business intent into sequences of concrete actions.</w:t>
      </w:r>
    </w:p>
    <w:p>
      <w:pPr>
        <w:spacing w:after="160"/>
      </w:pPr>
      <w:r>
        <w:rPr>
          <w:b/>
          <w:bCs/>
        </w:rPr>
        <w:t xml:space="preserve">Action</w:t>
      </w:r>
      <w:r>
        <w:t xml:space="preserve"> executes through tool calls and API integrations. The Model Context Protocol (MCP) provides a standardized interface for agents to interact with external systems, from ticketing platforms to ERP modules to cloud infrastructure. Actions are atomic, auditable, and reversible where possible.</w:t>
      </w:r>
    </w:p>
    <w:p>
      <w:pPr>
        <w:spacing w:after="160"/>
      </w:pPr>
      <w:r>
        <w:rPr>
          <w:b/>
          <w:bCs/>
        </w:rPr>
        <w:t xml:space="preserve">Verification</w:t>
      </w:r>
      <w:r>
        <w:t xml:space="preserve"> ensures actions comply with enterprise policies before execution. Policy-as-code frameworks evaluate every proposed action against governance rules, compliance requirements, and business constraints. High-stakes decisions can trigger human approval workflows while routine operations proceed autonomously within defined guardrails.</w:t>
      </w:r>
    </w:p>
    <w:p>
      <w:pPr>
        <w:spacing w:after="200"/>
      </w:pPr>
      <w:r>
        <w:rPr>
          <w:b/>
          <w:bCs/>
        </w:rPr>
        <w:t xml:space="preserve">Learning</w:t>
      </w:r>
      <w:r>
        <w:t xml:space="preserve"> writes outcomes back to the memory substrate. Successful patterns reinforce future behavior. Failures trigger analysis and adjustment. The enterprise accumulates intelligence over time rather than starting fresh with each interaction.</w:t>
      </w:r>
    </w:p>
    <w:p>
      <w:pPr>
        <w:pStyle w:val="Heading2"/>
      </w:pPr>
      <w:r>
        <w:t xml:space="preserve">Enterprise as Digital Organism</w:t>
      </w:r>
    </w:p>
    <w:p>
      <w:pPr>
        <w:spacing w:after="200"/>
      </w:pPr>
      <w:r>
        <w:t xml:space="preserve">The ANTS blueprint conceptualizes the enterprise as a digital organism. This metaphor illuminates architectural decisions and clarifies how components relate to whole-system behavior.</w:t>
      </w:r>
    </w:p>
    <w:p>
      <w:pPr>
        <w:spacing w:after="160"/>
      </w:pPr>
      <w:r>
        <w:t xml:space="preserve">The </w:t>
      </w:r>
      <w:r>
        <w:rPr>
          <w:b/>
          <w:bCs/>
        </w:rPr>
        <w:t xml:space="preserve">memory substrate</w:t>
      </w:r>
      <w:r>
        <w:t xml:space="preserve"> forms the persistent foundation where state accumulates, learning compounds, and enterprise truth resides. Azure NetApp Files provides this substrate, offering the performance, reliability, and data management capabilities that enterprise memory demands. Snapshots enable point-in-time recovery. Cross-region replication ensures business continuity. Tiered storage optimizes cost across hot, warm, and cold data patterns.</w:t>
      </w:r>
    </w:p>
    <w:p>
      <w:pPr>
        <w:spacing w:after="160"/>
      </w:pPr>
      <w:r>
        <w:t xml:space="preserve">The </w:t>
      </w:r>
      <w:r>
        <w:rPr>
          <w:b/>
          <w:bCs/>
        </w:rPr>
        <w:t xml:space="preserve">cognition layer</w:t>
      </w:r>
      <w:r>
        <w:t xml:space="preserve"> comprises AI models, retrievers, embeddings, and reasoning capabilities. NVIDIA NIM microservices deliver inference at scale with 2.6x higher throughput than unoptimized deployments. Multiple model types serve different cognitive functions: large language models for reasoning, embedding models for semantic search, rerankers for retrieval quality, and vision models for multimodal understanding.</w:t>
      </w:r>
    </w:p>
    <w:p>
      <w:pPr>
        <w:spacing w:after="160"/>
      </w:pPr>
      <w:r>
        <w:t xml:space="preserve">The </w:t>
      </w:r>
      <w:r>
        <w:rPr>
          <w:b/>
          <w:bCs/>
        </w:rPr>
        <w:t xml:space="preserve">nervous system</w:t>
      </w:r>
      <w:r>
        <w:t xml:space="preserve"> transmits signals through event streams, API calls, and agent-to-agent messaging. Azure Event Hubs provide high-throughput ingestion for real-time data flows. The Agent-to-Agent (A2A) protocol enables coordination between specialized agents. MCP standardizes tool integration across heterogeneous enterprise systems.</w:t>
      </w:r>
    </w:p>
    <w:p>
      <w:pPr>
        <w:spacing w:after="200"/>
      </w:pPr>
      <w:r>
        <w:rPr>
          <w:b/>
          <w:bCs/>
        </w:rPr>
        <w:t xml:space="preserve">Organs</w:t>
      </w:r>
      <w:r>
        <w:t xml:space="preserve"> represent functional business domains: Finance, Human Resources, Supply Chain, Customer Relations, Security and Compliance, and the distinctive SelfOps capability that maintains both corporate infrastructure and the agent platform itself. Each organ comprises specialized agents tuned for domain-specific tasks while participating in organism-wide coordination.</w:t>
      </w:r>
    </w:p>
    <w:p>
      <w:r>
        <w:br w:type="page"/>
      </w:r>
    </w:p>
    <w:p>
      <w:pPr>
        <w:pStyle w:val="Heading1"/>
      </w:pPr>
      <w:r>
        <w:t xml:space="preserve">The "Better Together" Stack</w:t>
      </w:r>
    </w:p>
    <w:p>
      <w:pPr>
        <w:spacing w:after="200"/>
      </w:pPr>
      <w:r>
        <w:t xml:space="preserve">Building the agentic enterprise requires more than selecting individual technologies. It demands an integrated stack where each component amplifies the capabilities of others. The partnership between Microsoft Azure, NVIDIA, and NetApp creates this synergy through complementary strengths that address every layer of the architecture.</w:t>
      </w:r>
    </w:p>
    <w:p>
      <w:pPr>
        <w:pStyle w:val="Heading2"/>
      </w:pPr>
      <w:r>
        <w:t xml:space="preserve">Azure: The Enterprise Control Plane</w:t>
      </w:r>
    </w:p>
    <w:p>
      <w:pPr>
        <w:spacing w:after="200"/>
      </w:pPr>
      <w:r>
        <w:t xml:space="preserve">Microsoft Azure provides the foundation for enterprise AI operations through a comprehensive suite of services designed for production workloads. Azure AI Foundry offers access to over 1,600 models with enterprise security, compliance, and responsible AI capabilities built in. The Foundry Agent Service, now generally available, provides managed infrastructure for deploying and orchestrating AI agents at scale.</w:t>
      </w:r>
    </w:p>
    <w:p>
      <w:pPr>
        <w:spacing w:after="200"/>
      </w:pPr>
      <w:r>
        <w:t xml:space="preserve">Azure AI Search delivers enterprise search capabilities with vector search, hybrid retrieval combining keyword and semantic methods, and semantic ranking that improves result quality. The new Agentic Retrieval feature enables agents to invoke search as a tool, automatically determining optimal query strategies based on user intent.</w:t>
      </w:r>
    </w:p>
    <w:p>
      <w:pPr>
        <w:spacing w:after="200"/>
      </w:pPr>
      <w:r>
        <w:t xml:space="preserve">Azure Databricks and Microsoft Fabric provide the lakehouse architecture for unifying data engineering, data science, and analytics. Unity Catalog delivers data governance across the lakehouse. OneLake creates a unified data layer that agents can query regardless of where data originated. This foundation ensures agents have access to trusted, governed enterprise data.</w:t>
      </w:r>
    </w:p>
    <w:p>
      <w:pPr>
        <w:spacing w:after="200"/>
      </w:pPr>
      <w:r>
        <w:t xml:space="preserve">Azure Kubernetes Service (AKS) hosts containerized agent workloads with GPU node pools for inference acceleration. Event Hubs manage high-throughput streaming ingestion. Azure Digital Twins model physical assets and environments for manufacturing, retail, and smart building scenarios where agents must understand and respond to real-world state.</w:t>
      </w:r>
    </w:p>
    <w:p>
      <w:pPr>
        <w:pStyle w:val="Heading2"/>
      </w:pPr>
      <w:r>
        <w:t xml:space="preserve">NVIDIA: Accelerated AI Inference</w:t>
      </w:r>
    </w:p>
    <w:p>
      <w:pPr>
        <w:spacing w:after="200"/>
      </w:pPr>
      <w:r>
        <w:t xml:space="preserve">NVIDIA brings inference optimization that transforms AI economics. NIM (NVIDIA Inference Microservices) packages optimized model runtimes with OpenAI-compatible APIs, enabling drop-in replacement while delivering 2.6x higher throughput compared to off-the-shelf deployments on H100 GPUs. This performance improvement directly translates to lower cost per inference and the ability to serve more concurrent agent operations.</w:t>
      </w:r>
    </w:p>
    <w:p>
      <w:pPr>
        <w:spacing w:after="200"/>
      </w:pPr>
      <w:r>
        <w:t xml:space="preserve">Azure's GPU portfolio includes the most powerful accelerators available. The NCads H100 v5 series provides up to 8 H100 80GB GPUs for inference workloads. The ND H100 v5 and ND GB300 v6 series scale to multi-node training and inference clusters. Azure became the first cloud platform to offer NVIDIA Blackwell at scale with the GB300 NVL72, delivering 1.44 exaflops per rack for the most demanding AI workloads.</w:t>
      </w:r>
    </w:p>
    <w:p>
      <w:pPr>
        <w:spacing w:after="200"/>
      </w:pPr>
      <w:r>
        <w:t xml:space="preserve">NVIDIA NeMo provides retriever algorithms and RAG blueprints that explicitly recommend Azure NetApp Files for production deployments. The RAG reference architecture combines AKS for orchestration, NIM for inference, Milvus for vector search, and ANF for storage. This validates the integrated stack approach where each component plays a specific role in the overall system.</w:t>
      </w:r>
    </w:p>
    <w:p>
      <w:pPr>
        <w:spacing w:after="200"/>
      </w:pPr>
      <w:r>
        <w:t xml:space="preserve">For manufacturing and retail scenarios, NVIDIA Omniverse enables digital twins that represent physical environments with high fidelity. Agents can simulate scenarios, test interventions, and optimize operations before affecting real-world systems. Krones AG, a global manufacturer of beverage production equipment, used Omniverse with Azure to compress simulation cycles from 3-4 hours to under 5 minutes.</w:t>
      </w:r>
    </w:p>
    <w:p>
      <w:pPr>
        <w:pStyle w:val="Heading2"/>
      </w:pPr>
      <w:r>
        <w:t xml:space="preserve">Azure NetApp Files: The Memory Substrate</w:t>
      </w:r>
    </w:p>
    <w:p>
      <w:pPr>
        <w:spacing w:after="200"/>
      </w:pPr>
      <w:r>
        <w:t xml:space="preserve">Azure NetApp Files provides the storage foundation that enterprise AI demands. Unlike cloud-native storage services optimized for object storage patterns, ANF delivers the file system semantics, consistent low latency, and high throughput that AI workloads require. The Ultra performance tier provides 128 MiB/s per TiB of provisioned capacity with sub-millisecond latency, enabling rapid model loading, checkpoint operations, and data retrieval.</w:t>
      </w:r>
    </w:p>
    <w:p>
      <w:pPr>
        <w:spacing w:after="200"/>
      </w:pPr>
      <w:r>
        <w:t xml:space="preserve">Large Volumes expand single-volume capacity to 500 TiB with throughput reaching 12,800 MiB/s. This eliminates the need to stripe data across multiple volumes for large datasets, simplifying architecture and management. Training datasets, inference caches, and enterprise document repositories can reside in unified volumes rather than distributed configurations.</w:t>
      </w:r>
    </w:p>
    <w:p>
      <w:pPr>
        <w:spacing w:after="200"/>
      </w:pPr>
      <w:r>
        <w:t xml:space="preserve">The Object REST API provides S3-compatible access that integrates ANF with modern data platforms. OneLake, Databricks, and other analytics services can access ANF data through standard object protocols without data movement. This enables zero-copy integration patterns where data remains in place while multiple services access it for different purposes.</w:t>
      </w:r>
    </w:p>
    <w:p>
      <w:pPr>
        <w:spacing w:after="200"/>
      </w:pPr>
      <w:r>
        <w:t xml:space="preserve">Snapshot and clone capabilities enable AI-specific use cases that distinguish enterprise deployments from experimental systems. Model versioning preserves known-good checkpoints that can be restored instantly if new versions underperform. Dataset versioning maintains training data lineage for reproducibility and compliance. Test environment creation through instant clones enables safe experimentation without duplicating storage consumption.</w:t>
      </w:r>
    </w:p>
    <w:p>
      <w:pPr>
        <w:spacing w:after="200"/>
      </w:pPr>
      <w:r>
        <w:t xml:space="preserve">Cross-region replication provides business continuity with RPO ranging from 20 minutes to 2 days depending on requirements. Agents can failover to replicated infrastructure with their memory substrate intact, maintaining operational continuity during regional outages.</w:t>
      </w:r>
    </w:p>
    <w:p>
      <w:pPr>
        <w:spacing w:after="200"/>
      </w:pPr>
      <w:r>
        <w:t xml:space="preserve">Astra Trident integration enables dynamic persistent volume provisioning for Kubernetes workloads. Agent services running on AKS can request storage on demand with Trident automatically provisioning ANF volumes that meet specified performance requirements. This automation simplifies operations while ensuring agents have the storage resources they need.</w:t>
      </w:r>
    </w:p>
    <w:p>
      <w:r>
        <w:br w:type="page"/>
      </w:r>
    </w:p>
    <w:p>
      <w:pPr>
        <w:pStyle w:val="Heading1"/>
      </w:pPr>
      <w:r>
        <w:t xml:space="preserve">Industry Applications</w:t>
      </w:r>
    </w:p>
    <w:p>
      <w:pPr>
        <w:spacing w:after="200"/>
      </w:pPr>
      <w:r>
        <w:t xml:space="preserve">The agentic enterprise manifests differently across industries based on specific operational challenges, regulatory requirements, and competitive dynamics. Each vertical presents distinct opportunities where AI agents can deliver measurable business value.</w:t>
      </w:r>
    </w:p>
    <w:p>
      <w:pPr>
        <w:pStyle w:val="Heading2"/>
      </w:pPr>
      <w:r>
        <w:t xml:space="preserve">Financial Services: Reconciliation and Compliance</w:t>
      </w:r>
    </w:p>
    <w:p>
      <w:pPr>
        <w:spacing w:after="200"/>
      </w:pPr>
      <w:r>
        <w:t xml:space="preserve">Financial institutions face relentless pressure to close books faster, maintain audit trails, and comply with evolving regulations while managing operational risk. JPMorgan's deployment of over 450 AI use cases demonstrates the sector's appetite for intelligent automation. Their LLM Suite serves 200,000 employees with AI assistance that has reduced advisor response preparation time by 95%. The cumulative operational value exceeds $1.5 billion.</w:t>
      </w:r>
    </w:p>
    <w:p>
      <w:pPr>
        <w:spacing w:after="200"/>
      </w:pPr>
      <w:r>
        <w:t xml:space="preserve">Agent-native architecture transforms core financial operations. Reconciliation agents ingest invoices, purchase orders, receipts, and general ledger entries continuously rather than in batch cycles. They extract data from unstructured documents using GPU-accelerated OCR, match transactions across systems, flag anomalies for human review, and post journal entries with complete audit trails. Policy gates enforce SOX compliance requirements, ensuring segregation of duties and approval workflows before any posting occurs.</w:t>
      </w:r>
    </w:p>
    <w:p>
      <w:pPr>
        <w:spacing w:after="200"/>
      </w:pPr>
      <w:r>
        <w:t xml:space="preserve">The regulatory environment demands particular attention. SR 11-7 model risk management requirements extend to AI systems, requiring validation, ongoing monitoring, and outcome analysis. The EU AI Act introduces compliance obligations for cross-border operations. Agent architectures must embed compliance from the foundation rather than adding it as an afterthought. Policy-as-code frameworks using OPA/Rego enable this embedded compliance approach.</w:t>
      </w:r>
    </w:p>
    <w:p>
      <w:pPr>
        <w:spacing w:after="200"/>
      </w:pPr>
      <w:r>
        <w:t xml:space="preserve">Audit receipts form the forensic foundation for regulatory examination. Every agent action generates an immutable record containing trace identifiers, actor information, policy decisions, data lineage, and outcome details. These receipts store in hot tiers for immediate query access and replicate to append-only volumes with snapshot protection for long-term retention.</w:t>
      </w:r>
    </w:p>
    <w:p>
      <w:pPr>
        <w:pStyle w:val="Heading2"/>
      </w:pPr>
      <w:r>
        <w:t xml:space="preserve">Retail: Demand Signals and Inventory Optimization</w:t>
      </w:r>
    </w:p>
    <w:p>
      <w:pPr>
        <w:spacing w:after="200"/>
      </w:pPr>
      <w:r>
        <w:t xml:space="preserve">Retail operations contend with volatile demand, thin margins, and supply chain complexity. Walmart's deployment of four "super agents" showcases the potential. Sparky assists customers with product discovery and recommendations. Marty monitors stores for spills and hazards. Associate agents support store workers with information retrieval and task guidance. Developer agents accelerate software delivery for internal teams.</w:t>
      </w:r>
    </w:p>
    <w:p>
      <w:pPr>
        <w:spacing w:after="200"/>
      </w:pPr>
      <w:r>
        <w:t xml:space="preserve">The results validate the investment. Support resolution time dropped by 40%. Fashion production cycles compressed from 18 weeks to days. Supplier negotiations conducted with AI assistance achieved 64-68% deal closure rates with 1.5-3% cost savings. These gains compound across the enterprise, transforming competitive positioning.</w:t>
      </w:r>
    </w:p>
    <w:p>
      <w:pPr>
        <w:spacing w:after="200"/>
      </w:pPr>
      <w:r>
        <w:t xml:space="preserve">Inventory optimization exemplifies the agent opportunity. Demand signal agents ingest point-of-sale events, monitor competitor pricing, track weather patterns, and analyze social sentiment to forecast demand at the SKU-store level. Inventory agents query current stock positions, calculate days of supply, and identify items at risk of stockout or overstock. When thresholds breach, reorder agents evaluate supplier options, negotiate terms within authorized parameters, and create purchase orders pending approval.</w:t>
      </w:r>
    </w:p>
    <w:p>
      <w:pPr>
        <w:spacing w:after="200"/>
      </w:pPr>
      <w:r>
        <w:t xml:space="preserve">This continuous optimization loop replaces periodic planning cycles with real-time adaptation. Service levels improve because replenishment responds to actual demand signals rather than historical averages. Working capital efficiency improves because inventory positions align more closely with true requirements. Store operations improve because associates spend less time managing out-of-stocks and more time serving customers.</w:t>
      </w:r>
    </w:p>
    <w:p>
      <w:pPr>
        <w:pStyle w:val="Heading2"/>
      </w:pPr>
      <w:r>
        <w:t xml:space="preserve">Manufacturing: Digital Twins and Predictive Operations</w:t>
      </w:r>
    </w:p>
    <w:p>
      <w:pPr>
        <w:spacing w:after="200"/>
      </w:pPr>
      <w:r>
        <w:t xml:space="preserve">Manufacturing operations suffer when equipment fails unexpectedly. McKinsey research indicates that 82% of manufacturing companies experienced unplanned downtime in the past three years. Predictive maintenance powered by AI agents can reduce machine downtime by 20-40%, transforming asset utilization and production reliability.</w:t>
      </w:r>
    </w:p>
    <w:p>
      <w:pPr>
        <w:spacing w:after="200"/>
      </w:pPr>
      <w:r>
        <w:t xml:space="preserve">Azure Digital Twins create virtual representations of physical assets that agents can query and analyze. IoT sensors stream telemetry on temperature, vibration, power consumption, and other parameters. When sensor patterns deviate from normal baselines, the digital twin emits events that trigger agent workflows. Maintenance agents retrieve historical incident data, equipment manuals, and procedural runbooks. They correlate current symptoms with past failures, propose remediation actions, and generate work orders with estimated completion times.</w:t>
      </w:r>
    </w:p>
    <w:p>
      <w:pPr>
        <w:spacing w:after="200"/>
      </w:pPr>
      <w:r>
        <w:t xml:space="preserve">Siemens Industrial Copilot demonstrates the practical application. Agents translate cryptic machine error codes into plain language explanations, suggest specific corrective actions, and guide technicians through repair procedures. This knowledge augmentation accelerates resolution while reducing dependence on specialized expertise.</w:t>
      </w:r>
    </w:p>
    <w:p>
      <w:pPr>
        <w:spacing w:after="200"/>
      </w:pPr>
      <w:r>
        <w:t xml:space="preserve">NVIDIA Omniverse extends digital twin capabilities to full simulation environments. Krones AG used Omniverse with Azure to simulate filling machine operations, compressing simulation cycles from 3-4 hours to under 5 minutes. Engineers can test design changes, optimize parameters, and validate performance before committing changes to production equipment.</w:t>
      </w:r>
    </w:p>
    <w:p>
      <w:pPr>
        <w:pStyle w:val="Heading2"/>
      </w:pPr>
      <w:r>
        <w:t xml:space="preserve">Healthcare: Clinical Intelligence Within Compliance</w:t>
      </w:r>
    </w:p>
    <w:p>
      <w:pPr>
        <w:spacing w:after="200"/>
      </w:pPr>
      <w:r>
        <w:t xml:space="preserve">Healthcare organizations balance the urgent need to reduce administrative burden with stringent requirements to protect patient information. Epic's AI features now generate over 1 million message drafts monthly across 150 health systems. Oracle Health's Clinical AI Agent reduced clinician documentation time by 41% in production deployments. These gains address a critical challenge: provider burnout from documentation overhead that detracts from patient care.</w:t>
      </w:r>
    </w:p>
    <w:p>
      <w:pPr>
        <w:spacing w:after="200"/>
      </w:pPr>
      <w:r>
        <w:t xml:space="preserve">Healthcare agent architectures must embed compliance at every layer. HIPAA Business Associate Agreements govern any system that handles protected health information. The FDA has authorized over 950 AI/ML medical devices with new guidance on Predetermined Change Control Plans providing pathways for AI systems that learn and adapt over time.</w:t>
      </w:r>
    </w:p>
    <w:p>
      <w:pPr>
        <w:spacing w:after="200"/>
      </w:pPr>
      <w:r>
        <w:t xml:space="preserve">PHI-safe RAG architectures address the compliance requirement while enabling clinical intelligence. Data classification at ingestion tags content with sensitivity levels. Retrieval filters enforce role-based and attribute-based access controls, ensuring agents only surface information appropriate for each user's authorization level. Redaction middleware removes or masks sensitive elements from responses when policy dictates. Full audit trails document every access and action for compliance demonstration.</w:t>
      </w:r>
    </w:p>
    <w:p>
      <w:pPr>
        <w:spacing w:after="200"/>
      </w:pPr>
      <w:r>
        <w:t xml:space="preserve">Operational agents manage scheduling, resource allocation, and administrative workflows without touching clinical data. These systems can achieve significant efficiency gains in areas like appointment scheduling, prior authorization, and benefits verification where compliance boundaries are clearer and the opportunity for automation is substantial.</w:t>
      </w:r>
    </w:p>
    <w:p>
      <w:r>
        <w:br w:type="page"/>
      </w:r>
    </w:p>
    <w:p>
      <w:pPr>
        <w:pStyle w:val="Heading1"/>
      </w:pPr>
      <w:r>
        <w:t xml:space="preserve">SelfOps: The Differentiating Capability</w:t>
      </w:r>
    </w:p>
    <w:p>
      <w:pPr>
        <w:spacing w:after="200"/>
      </w:pPr>
      <w:r>
        <w:t xml:space="preserve">Traditional enterprise systems require dedicated operations teams to maintain infrastructure, manage deployments, monitor performance, and respond to incidents. The agentic enterprise introduces a distinctive capability: agents that maintain both corporate infrastructure and the agent platform itself. This SelfOps function represents a qualitative advance in operational maturity.</w:t>
      </w:r>
    </w:p>
    <w:p>
      <w:pPr>
        <w:pStyle w:val="Heading2"/>
      </w:pPr>
      <w:r>
        <w:t xml:space="preserve">SelfOps Agent Teams</w:t>
      </w:r>
    </w:p>
    <w:p>
      <w:pPr>
        <w:spacing w:after="160"/>
      </w:pPr>
      <w:r>
        <w:rPr>
          <w:b/>
          <w:bCs/>
        </w:rPr>
        <w:t xml:space="preserve">InfraOps agents</w:t>
      </w:r>
      <w:r>
        <w:t xml:space="preserve"> manage cloud resources, Kubernetes clusters, networking configurations, and secrets. They monitor resource utilization, scale deployments based on demand, apply security patches, and optimize cost allocation. When infrastructure drift occurs, InfraOps agents detect the deviation and either remediate automatically or escalate for human review based on policy.</w:t>
      </w:r>
    </w:p>
    <w:p>
      <w:pPr>
        <w:spacing w:after="160"/>
      </w:pPr>
      <w:r>
        <w:rPr>
          <w:b/>
          <w:bCs/>
        </w:rPr>
        <w:t xml:space="preserve">DataOps agents</w:t>
      </w:r>
      <w:r>
        <w:t xml:space="preserve"> oversee data pipelines, schema evolution, lakehouse health, and index freshness. They monitor ingestion latency, detect data quality anomalies, manage retention policies, and ensure vector indexes remain synchronized with source data. When embedding models update, DataOps agents coordinate re-indexing workflows to maintain retrieval accuracy.</w:t>
      </w:r>
    </w:p>
    <w:p>
      <w:pPr>
        <w:spacing w:after="160"/>
      </w:pPr>
      <w:r>
        <w:rPr>
          <w:b/>
          <w:bCs/>
        </w:rPr>
        <w:t xml:space="preserve">AgentOps agents</w:t>
      </w:r>
      <w:r>
        <w:t xml:space="preserve"> monitor the agent fleet itself. They detect performance drift in individual agents, test prompt specifications against evaluation suites, manage canary deployments of updated agent versions, and coordinate rollbacks when regressions appear. This meta-operational capability enables the agent platform to improve itself over time.</w:t>
      </w:r>
    </w:p>
    <w:p>
      <w:pPr>
        <w:spacing w:after="200"/>
      </w:pPr>
      <w:r>
        <w:rPr>
          <w:b/>
          <w:bCs/>
        </w:rPr>
        <w:t xml:space="preserve">SecOps agents</w:t>
      </w:r>
      <w:r>
        <w:t xml:space="preserve"> enforce security policies, detect anomalous behavior, and execute quarantine protocols. When an agent exhibits behavior outside normal parameters, SecOps can revoke its credentials, block network egress, freeze write operations, and capture forensic snapshots for investigation. This containment capability limits blast radius when issues occur.</w:t>
      </w:r>
    </w:p>
    <w:p>
      <w:pPr>
        <w:pStyle w:val="Heading2"/>
      </w:pPr>
      <w:r>
        <w:t xml:space="preserve">Drift Detection and Automated Remediation</w:t>
      </w:r>
    </w:p>
    <w:p>
      <w:pPr>
        <w:spacing w:after="200"/>
      </w:pPr>
      <w:r>
        <w:t xml:space="preserve">Agent systems can degrade in subtle ways that traditional monitoring misses. Prompt drift occurs when accumulated conversation history shifts model behavior away from intended patterns. Embedding drift happens when document distributions change in ways that affect retrieval quality. Response quality regression appears when updates to dependencies introduce unexpected effects.</w:t>
      </w:r>
    </w:p>
    <w:p>
      <w:pPr>
        <w:spacing w:after="200"/>
      </w:pPr>
      <w:r>
        <w:t xml:space="preserve">SelfOps implements continuous evaluation against golden test sets. When metrics breach thresholds, diagnostic workflows activate. The system correlates timing with recent changes: model updates, index rebuilds, configuration modifications. Once the culprit is isolated, automated rollback restores the previous known-good state.</w:t>
      </w:r>
    </w:p>
    <w:p>
      <w:pPr>
        <w:spacing w:after="200"/>
      </w:pPr>
      <w:r>
        <w:t xml:space="preserve">Azure NetApp Files snapshots enable this rollback capability. When SelfOps detects a regression tied to index changes, it can restore the vector database from a pre-change snapshot in seconds rather than waiting hours for a full rebuild. Model checkpoint restoration follows the same pattern. This "time machine" capability fundamentally changes the risk profile of agent deployments.</w:t>
      </w:r>
    </w:p>
    <w:p>
      <w:pPr>
        <w:pStyle w:val="Heading2"/>
      </w:pPr>
      <w:r>
        <w:t xml:space="preserve">Human Oversight Integration</w:t>
      </w:r>
    </w:p>
    <w:p>
      <w:pPr>
        <w:spacing w:after="200"/>
      </w:pPr>
      <w:r>
        <w:t xml:space="preserve">SelfOps does not mean unsupervised autonomy. Policy gates define the boundary between autonomous action and required approval. Routine operations like scaling within predefined limits, applying security patches to non-production systems, or rebalancing indexes proceed automatically. High-impact actions like production deployments, security policy modifications, or infrastructure architecture changes require human approval.</w:t>
      </w:r>
    </w:p>
    <w:p>
      <w:pPr>
        <w:spacing w:after="200"/>
      </w:pPr>
      <w:r>
        <w:t xml:space="preserve">The approval workflow surfaces through familiar interfaces. Teams messages notify on-call engineers of pending decisions. Approval requests include full context: what the agent proposes, why it recommends the action, what risks exist, and what alternatives were considered. Engineers can approve, reject, or request modifications. Every decision creates an audit record.</w:t>
      </w:r>
    </w:p>
    <w:p>
      <w:pPr>
        <w:spacing w:after="200"/>
      </w:pPr>
      <w:r>
        <w:t xml:space="preserve">This approach maintains human accountability while reducing operational toil. Engineers focus on decisions that matter rather than routine maintenance tasks. The system becomes more reliable because automation executes consistently while humans provide judgment on exceptional situations.</w:t>
      </w:r>
    </w:p>
    <w:p>
      <w:r>
        <w:br w:type="page"/>
      </w:r>
    </w:p>
    <w:p>
      <w:pPr>
        <w:pStyle w:val="Heading1"/>
      </w:pPr>
      <w:r>
        <w:t xml:space="preserve">Governance and Trust Architecture</w:t>
      </w:r>
    </w:p>
    <w:p>
      <w:pPr>
        <w:spacing w:after="200"/>
      </w:pPr>
      <w:r>
        <w:t xml:space="preserve">Autonomous systems require governance structures that ensure accountability without sacrificing the benefits of automation. The ANTS blueprint embeds governance at the architectural level rather than layering it on after deployment.</w:t>
      </w:r>
    </w:p>
    <w:p>
      <w:pPr>
        <w:pStyle w:val="Heading2"/>
      </w:pPr>
      <w:r>
        <w:t xml:space="preserve">Policy-as-Code Framework</w:t>
      </w:r>
    </w:p>
    <w:p>
      <w:pPr>
        <w:spacing w:after="200"/>
      </w:pPr>
      <w:r>
        <w:t xml:space="preserve">Every agent action passes through a policy evaluation layer implemented using Open Policy Agent (OPA) with Rego policy language. The policy engine receives an envelope containing trace identifiers, tenant and user context, agent identity, declared intent, requested tool and arguments, model information, and artifact references. The engine evaluates this envelope against organization policies and returns one of five decisions.</w:t>
      </w:r>
    </w:p>
    <w:p>
      <w:pPr>
        <w:spacing w:after="160"/>
      </w:pPr>
      <w:r>
        <w:rPr>
          <w:b/>
          <w:bCs/>
        </w:rPr>
        <w:t xml:space="preserve">ALLOW</w:t>
      </w:r>
      <w:r>
        <w:t xml:space="preserve"> permits the action to proceed without modification. </w:t>
      </w:r>
      <w:r>
        <w:rPr>
          <w:b/>
          <w:bCs/>
        </w:rPr>
        <w:t xml:space="preserve">DENY</w:t>
      </w:r>
      <w:r>
        <w:t xml:space="preserve"> blocks the action with explanation. </w:t>
      </w:r>
      <w:r>
        <w:rPr>
          <w:b/>
          <w:bCs/>
        </w:rPr>
        <w:t xml:space="preserve">REQUIRE_APPROVAL</w:t>
      </w:r>
      <w:r>
        <w:t xml:space="preserve"> suspends execution pending human review. </w:t>
      </w:r>
      <w:r>
        <w:rPr>
          <w:b/>
          <w:bCs/>
        </w:rPr>
        <w:t xml:space="preserve">ALLOW_WITH_REDACTION</w:t>
      </w:r>
      <w:r>
        <w:t xml:space="preserve"> permits the action but removes sensitive elements from outputs. </w:t>
      </w:r>
      <w:r>
        <w:rPr>
          <w:b/>
          <w:bCs/>
        </w:rPr>
        <w:t xml:space="preserve">QUARANTINE_AGENT</w:t>
      </w:r>
      <w:r>
        <w:t xml:space="preserve"> isolates the agent for security investigation.</w:t>
      </w:r>
    </w:p>
    <w:p>
      <w:pPr>
        <w:spacing w:after="200"/>
      </w:pPr>
      <w:r>
        <w:t xml:space="preserve">This framework enables fine-grained control without code changes. Policies express business rules declaratively: "Finance agents may post journal entries under $10,000 without approval during business hours." Updates to policies take effect immediately across all agents, ensuring consistent enforcement of evolving requirements.</w:t>
      </w:r>
    </w:p>
    <w:p>
      <w:pPr>
        <w:pStyle w:val="Heading2"/>
      </w:pPr>
      <w:r>
        <w:t xml:space="preserve">Audit Receipt Architecture</w:t>
      </w:r>
    </w:p>
    <w:p>
      <w:pPr>
        <w:spacing w:after="200"/>
      </w:pPr>
      <w:r>
        <w:t xml:space="preserve">Compliance and accountability require forensic-grade audit trails. Every agent action generates an immutable receipt containing the unique receipt identifier, trace context linking to the originating request, precise timestamp, actor identification (user, agent, system), action details including tool and arguments, policy evaluation results, data lineage showing inputs consumed, model lineage identifying which model versions produced outputs, and outcome including success or failure status.</w:t>
      </w:r>
    </w:p>
    <w:p>
      <w:pPr>
        <w:spacing w:after="200"/>
      </w:pPr>
      <w:r>
        <w:t xml:space="preserve">Receipts flow through a tiered storage architecture. Hot receipts reside in PostgreSQL for immediate query access during active operations and investigations. Append-only logs on ANF volumes capture the complete record with snapshot protection preventing any modification. Cross-region replication ensures receipts survive regional failures.</w:t>
      </w:r>
    </w:p>
    <w:p>
      <w:pPr>
        <w:spacing w:after="200"/>
      </w:pPr>
      <w:r>
        <w:t xml:space="preserve">This architecture supports multiple governance needs. Compliance auditors can trace any outcome back through the complete chain of decisions and data. Security teams can investigate incidents with full context. Operations can debug agent behavior by replaying sequences. Finance can demonstrate control effectiveness for SOX attestation.</w:t>
      </w:r>
    </w:p>
    <w:p>
      <w:pPr>
        <w:pStyle w:val="Heading2"/>
      </w:pPr>
      <w:r>
        <w:t xml:space="preserve">Data and Model Governance</w:t>
      </w:r>
    </w:p>
    <w:p>
      <w:pPr>
        <w:spacing w:after="200"/>
      </w:pPr>
      <w:r>
        <w:t xml:space="preserve">Data governance extends traditional classifications to agent-specific requirements. Every data element carries tags indicating public, internal, or confidential classification; regulatory categories like PII, PHI, PCI, or SOX; and retention class determining lifecycle management. Retrieval filters enforce these classifications dynamically, ensuring agents only access data appropriate for their authorization level and the current request context.</w:t>
      </w:r>
    </w:p>
    <w:p>
      <w:pPr>
        <w:spacing w:after="200"/>
      </w:pPr>
      <w:r>
        <w:t xml:space="preserve">Model governance maintains registries tracking which model versions are authorized for each environment. Canary rollout patterns expose new versions to limited traffic before full deployment. Evaluation gates verify performance against benchmark suites before promotion. Rollback mechanisms restore previous versions when issues appear. This lifecycle management ensures production stability while enabling continuous improvement.</w:t>
      </w:r>
    </w:p>
    <w:p>
      <w:r>
        <w:br w:type="page"/>
      </w:r>
    </w:p>
    <w:p>
      <w:pPr>
        <w:pStyle w:val="Heading1"/>
      </w:pPr>
      <w:r>
        <w:t xml:space="preserve">Implementation Roadmap</w:t>
      </w:r>
    </w:p>
    <w:p>
      <w:pPr>
        <w:spacing w:after="200"/>
      </w:pPr>
      <w:r>
        <w:t xml:space="preserve">Enterprise transformation to agentic operations proceeds through phases that build capabilities progressively while managing risk. The following roadmap provides a practical path from current state to full agent-native operations.</w:t>
      </w:r>
    </w:p>
    <w:p>
      <w:pPr>
        <w:pStyle w:val="Heading2"/>
      </w:pPr>
      <w:r>
        <w:t xml:space="preserve">Phase 1: Foundation (Q1-Q2 2025)</w:t>
      </w:r>
    </w:p>
    <w:p>
      <w:pPr>
        <w:spacing w:after="200"/>
      </w:pPr>
      <w:r>
        <w:t xml:space="preserve">The foundation phase establishes infrastructure and governance capabilities that subsequent phases depend upon.</w:t>
      </w:r>
    </w:p>
    <w:p>
      <w:pPr>
        <w:pStyle w:val="ListParagraph"/>
        <w:numPr>
          <w:ilvl w:val="0"/>
          <w:numId w:val="2"/>
        </w:numPr>
      </w:pPr>
      <w:r>
        <w:t xml:space="preserve">Deploy Azure AI Foundry with NVIDIA NIM for inference. Configure model endpoints for target use cases. Establish monitoring and cost allocation.</w:t>
      </w:r>
    </w:p>
    <w:p>
      <w:pPr>
        <w:pStyle w:val="ListParagraph"/>
        <w:numPr>
          <w:ilvl w:val="0"/>
          <w:numId w:val="2"/>
        </w:numPr>
      </w:pPr>
      <w:r>
        <w:t xml:space="preserve">Implement ANF storage tier architecture. Standard tier for cold data and archives. Premium tier for active operational data. Ultra tier for inference workloads requiring lowest latency.</w:t>
      </w:r>
    </w:p>
    <w:p>
      <w:pPr>
        <w:pStyle w:val="ListParagraph"/>
        <w:numPr>
          <w:ilvl w:val="0"/>
          <w:numId w:val="2"/>
        </w:numPr>
      </w:pPr>
      <w:r>
        <w:t xml:space="preserve">Deploy observability infrastructure using OpenTelemetry with semantic conventions for AI workloads. Instrument model calls, retrieval operations, and agent actions.</w:t>
      </w:r>
    </w:p>
    <w:p>
      <w:pPr>
        <w:pStyle w:val="ListParagraph"/>
        <w:numPr>
          <w:ilvl w:val="0"/>
          <w:numId w:val="2"/>
        </w:numPr>
      </w:pPr>
      <w:r>
        <w:t xml:space="preserve">Implement OPA for policy-as-code governance. Define initial policy framework. Establish approval workflows. Deploy audit receipt infrastructure.</w:t>
      </w:r>
    </w:p>
    <w:p>
      <w:pPr>
        <w:pStyle w:val="Heading2"/>
      </w:pPr>
      <w:r>
        <w:t xml:space="preserve">Phase 2: Workflow Agents (Q3-Q4 2025)</w:t>
      </w:r>
    </w:p>
    <w:p>
      <w:pPr>
        <w:spacing w:after="200"/>
      </w:pPr>
      <w:r>
        <w:t xml:space="preserve">The workflow phase introduces domain-specific agents that automate defined business processes within established guardrails.</w:t>
      </w:r>
    </w:p>
    <w:p>
      <w:pPr>
        <w:pStyle w:val="ListParagraph"/>
        <w:numPr>
          <w:ilvl w:val="0"/>
          <w:numId w:val="3"/>
        </w:numPr>
      </w:pPr>
      <w:r>
        <w:t xml:space="preserve">Build domain-specific agents for highest-value use cases. Finance reconciliation, supply chain optimization, and customer service represent common starting points. Use LangGraph or Microsoft Agent Framework for orchestration.</w:t>
      </w:r>
    </w:p>
    <w:p>
      <w:pPr>
        <w:pStyle w:val="ListParagraph"/>
        <w:numPr>
          <w:ilvl w:val="0"/>
          <w:numId w:val="3"/>
        </w:numPr>
      </w:pPr>
      <w:r>
        <w:t xml:space="preserve">Integrate with existing enterprise systems through MCP servers. Connect to ERP platforms, ticketing systems, and operational databases. Maintain bidirectional data flow.</w:t>
      </w:r>
    </w:p>
    <w:p>
      <w:pPr>
        <w:pStyle w:val="ListParagraph"/>
        <w:numPr>
          <w:ilvl w:val="0"/>
          <w:numId w:val="3"/>
        </w:numPr>
      </w:pPr>
      <w:r>
        <w:t xml:space="preserve">Establish human-in-the-loop approval workflows for high-stakes decisions. Configure confidence thresholds for automatic escalation. Train approvers on decision context and options.</w:t>
      </w:r>
    </w:p>
    <w:p>
      <w:pPr>
        <w:pStyle w:val="ListParagraph"/>
        <w:numPr>
          <w:ilvl w:val="0"/>
          <w:numId w:val="3"/>
        </w:numPr>
      </w:pPr>
      <w:r>
        <w:t xml:space="preserve">Deploy cross-region business continuity. Replicate agent state to Cosmos DB across regions. Configure ANF cross-region replication for memory substrate. Test failover procedures.</w:t>
      </w:r>
    </w:p>
    <w:p>
      <w:pPr>
        <w:pStyle w:val="Heading2"/>
      </w:pPr>
      <w:r>
        <w:t xml:space="preserve">Phase 3: Autonomous Operations (2026)</w:t>
      </w:r>
    </w:p>
    <w:p>
      <w:pPr>
        <w:spacing w:after="200"/>
      </w:pPr>
      <w:r>
        <w:t xml:space="preserve">The autonomous phase expands agent capabilities and enables agent-to-agent collaboration within governance frameworks.</w:t>
      </w:r>
    </w:p>
    <w:p>
      <w:pPr>
        <w:pStyle w:val="ListParagraph"/>
        <w:numPr>
          <w:ilvl w:val="0"/>
          <w:numId w:val="4"/>
        </w:numPr>
      </w:pPr>
      <w:r>
        <w:t xml:space="preserve">Enable agent-to-agent collaboration through A2A protocol. Agents coordinate complex workflows spanning multiple domains. SelfOps agents manage the growing agent fleet.</w:t>
      </w:r>
    </w:p>
    <w:p>
      <w:pPr>
        <w:pStyle w:val="ListParagraph"/>
        <w:numPr>
          <w:ilvl w:val="0"/>
          <w:numId w:val="4"/>
        </w:numPr>
      </w:pPr>
      <w:r>
        <w:t xml:space="preserve">Integrate digital twins for manufacturing and retail scenarios using Azure Digital Twins and NVIDIA Omniverse. Agents respond to physical world state through twin events.</w:t>
      </w:r>
    </w:p>
    <w:p>
      <w:pPr>
        <w:pStyle w:val="ListParagraph"/>
        <w:numPr>
          <w:ilvl w:val="0"/>
          <w:numId w:val="4"/>
        </w:numPr>
      </w:pPr>
      <w:r>
        <w:t xml:space="preserve">Expand autonomous decision-making within governance guardrails. Agents handle more scenarios without human intervention as trust builds through demonstrated reliability.</w:t>
      </w:r>
    </w:p>
    <w:p>
      <w:pPr>
        <w:pStyle w:val="ListParagraph"/>
        <w:numPr>
          <w:ilvl w:val="0"/>
          <w:numId w:val="4"/>
        </w:numPr>
      </w:pPr>
      <w:r>
        <w:t xml:space="preserve">Measure and optimize for business outcomes. Track cost savings, time reduction, accuracy improvements, and customer satisfaction impacts. Adjust agent configurations based on measured results.</w:t>
      </w:r>
    </w:p>
    <w:p>
      <w:r>
        <w:br w:type="page"/>
      </w:r>
    </w:p>
    <w:p>
      <w:pPr>
        <w:pStyle w:val="Heading1"/>
      </w:pPr>
      <w:r>
        <w:t xml:space="preserve">Competitive Differentiation</w:t>
      </w:r>
    </w:p>
    <w:p>
      <w:pPr>
        <w:spacing w:after="200"/>
      </w:pPr>
      <w:r>
        <w:t xml:space="preserve">Major enterprise software vendors have recognized the agentic opportunity and are positioning their platforms accordingly. Understanding this competitive context illuminates the distinctive value of the Azure, NVIDIA, and ANF stack.</w:t>
      </w:r>
    </w:p>
    <w:p>
      <w:pPr>
        <w:pStyle w:val="Heading2"/>
      </w:pPr>
      <w:r>
        <w:t xml:space="preserve">ERP Vendor Approaches</w:t>
      </w:r>
    </w:p>
    <w:p>
      <w:pPr>
        <w:spacing w:after="200"/>
      </w:pPr>
      <w:r>
        <w:t xml:space="preserve">SAP Joule AI introduces collaborative agents within the SAP ecosystem. These agents assist users with SAP-specific tasks, from financial reporting to supply chain planning. The capability is substantial within SAP boundaries but limited to SAP-native workflows and data.</w:t>
      </w:r>
    </w:p>
    <w:p>
      <w:pPr>
        <w:spacing w:after="200"/>
      </w:pPr>
      <w:r>
        <w:t xml:space="preserve">Oracle AI Agent Studio provides over 50 pre-built agents for Fusion applications. These agents automate Oracle-centric processes with deep integration into Oracle's application suite. Like SAP, the scope remains bounded by Oracle's ecosystem.</w:t>
      </w:r>
    </w:p>
    <w:p>
      <w:pPr>
        <w:spacing w:after="200"/>
      </w:pPr>
      <w:r>
        <w:t xml:space="preserve">ServiceNow AI Agent Orchestrator coordinates agent workflows for IT service management and beyond. The platform excels at IT operations but centers on ServiceNow's workflow model.</w:t>
      </w:r>
    </w:p>
    <w:p>
      <w:pPr>
        <w:spacing w:after="200"/>
      </w:pPr>
      <w:r>
        <w:t xml:space="preserve">These vendor approaches share a common limitation: they cannot orchestrate across heterogeneous enterprise systems. Real enterprises run SAP and Oracle and ServiceNow and dozens of other systems simultaneously. Agents confined to single-vendor ecosystems cannot optimize end-to-end business processes that span these boundaries.</w:t>
      </w:r>
    </w:p>
    <w:p>
      <w:pPr>
        <w:pStyle w:val="Heading2"/>
      </w:pPr>
      <w:r>
        <w:t xml:space="preserve">The Cross-System Advantage</w:t>
      </w:r>
    </w:p>
    <w:p>
      <w:pPr>
        <w:spacing w:after="200"/>
      </w:pPr>
      <w:r>
        <w:t xml:space="preserve">The Azure, NVIDIA, and ANF stack enables true cross-system orchestration. Agents coordinate across SAP, Oracle, ServiceNow, and custom applications through A2A protocol and MCP integrations. Data flows through Azure's integration services regardless of source system. NVIDIA inference serves any model requirement. ANF provides unified memory substrate accessible by all agents.</w:t>
      </w:r>
    </w:p>
    <w:p>
      <w:pPr>
        <w:spacing w:after="200"/>
      </w:pPr>
      <w:r>
        <w:t xml:space="preserve">NVIDIA brings performance leadership that vendor-specific AI cannot match. Blackwell architecture delivers superior total cost of ownership for inference workloads. NIM optimization improves throughput regardless of which models organizations choose. This performance advantage translates directly to economics: more agent operations per dollar, faster response times, better user experience.</w:t>
      </w:r>
    </w:p>
    <w:p>
      <w:pPr>
        <w:spacing w:after="200"/>
      </w:pPr>
      <w:r>
        <w:t xml:space="preserve">ANF provides enterprise data foundation that cloud-native storage cannot match. Consistent sub-millisecond latency supports real-time agent operations. Snapshot and clone capabilities enable safe experimentation and instant rollback. Cross-region replication ensures business continuity. These capabilities matter for production enterprise workloads in ways that experimental deployments never reveal.</w:t>
      </w:r>
    </w:p>
    <w:p>
      <w:pPr>
        <w:spacing w:after="200"/>
      </w:pPr>
      <w:r>
        <w:t xml:space="preserve">For manufacturing and retail scenarios, NVIDIA Omniverse extends capabilities beyond what ERP vendors can offer. Digital twins that represent physical environments with high fidelity enable agents to understand and respond to real-world state. No ERP-centric AI can simulate a factory floor or retail store at the level of detail Omniverse provides.</w:t>
      </w:r>
    </w:p>
    <w:p>
      <w:r>
        <w:br w:type="page"/>
      </w:r>
    </w:p>
    <w:p>
      <w:pPr>
        <w:pStyle w:val="Heading1"/>
      </w:pPr>
      <w:r>
        <w:t xml:space="preserve">Conclusion: The Path Forward</w:t>
      </w:r>
    </w:p>
    <w:p>
      <w:pPr>
        <w:spacing w:after="200"/>
      </w:pPr>
      <w:r>
        <w:t xml:space="preserve">The agentic enterprise represents the next major evolution in how organizations operate. Just as cloud computing transformed infrastructure economics and software-as-a-service changed application delivery, AI agents are transforming business execution. The organizations that build this capability now will establish advantages that compound over time as their agents accumulate learning, optimize operations, and handle increasing scope autonomously.</w:t>
      </w:r>
    </w:p>
    <w:p>
      <w:pPr>
        <w:spacing w:after="200"/>
      </w:pPr>
      <w:r>
        <w:t xml:space="preserve">The technology foundation exists today. Azure AI Foundry provides managed agent infrastructure. NVIDIA NIM delivers optimized inference. Azure NetApp Files offers the memory substrate that enterprise deployments require. The "Better Together" stack integrates these capabilities into a coherent architecture ready for production workloads.</w:t>
      </w:r>
    </w:p>
    <w:p>
      <w:pPr>
        <w:spacing w:after="200"/>
      </w:pPr>
      <w:r>
        <w:t xml:space="preserve">The governance frameworks have matured. Policy-as-code enables fine-grained control without sacrificing automation benefits. Audit receipts support compliance requirements across regulated industries. Human-in-the-loop patterns maintain accountability while reducing operational burden.</w:t>
      </w:r>
    </w:p>
    <w:p>
      <w:pPr>
        <w:spacing w:after="200"/>
      </w:pPr>
      <w:r>
        <w:t xml:space="preserve">The business case is proven. JPMorgan's $1.5 billion in operational value. Walmart's 40% reduction in support resolution time. Manufacturing simulation cycles compressed from hours to minutes. These are production results from organizations that have moved beyond experimentation to enterprise deployment.</w:t>
      </w:r>
    </w:p>
    <w:p>
      <w:pPr>
        <w:spacing w:after="200"/>
      </w:pPr>
      <w:r>
        <w:t xml:space="preserve">The window for action is now. Gartner projects that 33% of enterprise software will include agentic AI by 2028, up from less than 1% in 2024. Organizations that delay will find themselves competing against rivals whose operations have fundamentally different cost structures and responsiveness characteristics.</w:t>
      </w:r>
    </w:p>
    <w:p>
      <w:pPr>
        <w:spacing w:after="200"/>
      </w:pPr>
      <w:r>
        <w:t xml:space="preserve">The ANTS blueprint provides the architectural foundation for this transformation. It offers a practical path from current operations to agent-native systems, with governance frameworks that ensure accountability, infrastructure patterns that ensure reliability, and implementation guidance that manages risk while building capability.</w:t>
      </w:r>
    </w:p>
    <w:p>
      <w:pPr>
        <w:spacing w:after="200"/>
      </w:pPr>
      <w:r>
        <w:t xml:space="preserve">The future enterprise is not a distant vision. It is being built today by organizations that recognize the opportunity and act on it. The question for technology leaders is not whether to pursue agentic operations but how quickly and effectively to build this capability before competitive dynamics make it mandatory.</w:t>
      </w:r>
    </w:p>
    <w:p>
      <w:pPr>
        <w:pStyle w:val="Quote"/>
        <w:spacing w:before="400"/>
      </w:pPr>
      <w:r>
        <w:t xml:space="preserve">The enterprise will demand autonomous execution with accountability, AI that is grounded in enterprise truth, systems that can self-heal and self-optimize, and data fabrics that support AI without migrations. ANTS is a blueprint for that world.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t xml:space="preserve">Page </w:t>
    </w:r>
    <w:r>
      <w:rPr>
        <w:color w:val="888888"/>
        <w:sz w:val="20"/>
        <w:szCs w:val="20"/>
      </w:rPr>
      <w:fldChar w:fldCharType="begin"/>
      <w:instrText xml:space="preserve">PAGE</w:instrText>
      <w:fldChar w:fldCharType="separate"/>
      <w:fldChar w:fldCharType="end"/>
    </w:r>
    <w:r>
      <w:rPr>
        <w:color w:val="888888"/>
        <w:sz w:val="20"/>
        <w:szCs w:val="20"/>
      </w:rPr>
      <w:t xml:space="preserve"> of </w:t>
    </w:r>
    <w:r>
      <w:rPr>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The Agentic Enterprise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B365D"/>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984"/>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7BA7"/>
      <w:sz w:val="24"/>
      <w:szCs w:val="24"/>
    </w:rPr>
  </w:style>
  <w:style w:type="paragraph" w:styleId="Subtitle">
    <w:name w:val="Subtitle"/>
    <w:basedOn w:val="Normal"/>
    <w:pPr>
      <w:spacing w:before="0" w:after="480"/>
      <w:jc w:val="center"/>
    </w:pPr>
    <w:rPr>
      <w:rFonts w:ascii="Arial" w:cs="Arial" w:eastAsia="Arial" w:hAnsi="Arial"/>
      <w:i/>
      <w:iCs/>
      <w:color w:val="666666"/>
      <w:sz w:val="28"/>
      <w:szCs w:val="28"/>
    </w:rPr>
  </w:style>
  <w:style w:type="paragraph" w:styleId="Quote">
    <w:name w:val="Quote"/>
    <w:basedOn w:val="Normal"/>
    <w:pPr>
      <w:spacing w:before="200" w:after="200"/>
      <w:ind w:left="720" w:right="720"/>
    </w:pPr>
    <w:rPr>
      <w:rFonts w:ascii="Georgia" w:cs="Georgia" w:eastAsia="Georgia" w:hAnsi="Georgia"/>
      <w:i/>
      <w:iCs/>
      <w:color w:val="444444"/>
      <w:sz w:val="24"/>
      <w:szCs w:val="24"/>
    </w:rPr>
  </w:style>
  <w:style w:type="paragraph" w:styleId="Callout">
    <w:name w:val="Callout"/>
    <w:basedOn w:val="Normal"/>
    <w:pPr>
      <w:spacing w:before="160" w:after="160"/>
      <w:ind w:left="36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2025-12-20T05:55:48.277Z</dcterms:created>
  <dcterms:modified xsi:type="dcterms:W3CDTF">2025-12-20T05:55:48.277Z</dcterms:modified>
</cp:coreProperties>
</file>

<file path=docProps/custom.xml><?xml version="1.0" encoding="utf-8"?>
<Properties xmlns="http://schemas.openxmlformats.org/officeDocument/2006/custom-properties" xmlns:vt="http://schemas.openxmlformats.org/officeDocument/2006/docPropsVTypes"/>
</file>