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657E"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AKHIR</w:t>
      </w:r>
    </w:p>
    <w:p w14:paraId="04538258"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PEMETAAN PERUBAHAN VEGETASI KOTA PADANG PANJANG 2024-2025</w:t>
      </w:r>
    </w:p>
    <w:p w14:paraId="12BC2F35" w14:textId="77777777" w:rsidR="004647C6" w:rsidRDefault="004647C6">
      <w:pPr>
        <w:rPr>
          <w:rFonts w:ascii="Times New Roman" w:eastAsia="Times New Roman" w:hAnsi="Times New Roman" w:cs="Times New Roman"/>
          <w:b/>
          <w:bCs/>
          <w:sz w:val="24"/>
          <w:szCs w:val="24"/>
        </w:rPr>
      </w:pPr>
    </w:p>
    <w:p w14:paraId="586BB16F" w14:textId="77777777" w:rsidR="004647C6" w:rsidRDefault="004647C6">
      <w:pPr>
        <w:rPr>
          <w:rFonts w:ascii="Times New Roman" w:eastAsia="Times New Roman" w:hAnsi="Times New Roman" w:cs="Times New Roman"/>
          <w:b/>
          <w:bCs/>
          <w:sz w:val="24"/>
          <w:szCs w:val="24"/>
        </w:rPr>
      </w:pPr>
    </w:p>
    <w:p w14:paraId="3682DD78" w14:textId="77777777" w:rsidR="004647C6" w:rsidRDefault="004647C6">
      <w:pPr>
        <w:jc w:val="center"/>
        <w:rPr>
          <w:rFonts w:ascii="Times New Roman" w:eastAsia="Times New Roman" w:hAnsi="Times New Roman" w:cs="Times New Roman"/>
          <w:b/>
          <w:bCs/>
          <w:sz w:val="24"/>
          <w:szCs w:val="24"/>
        </w:rPr>
      </w:pPr>
    </w:p>
    <w:p w14:paraId="55771EE2"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31CC39F" wp14:editId="41897F22">
            <wp:extent cx="4567040" cy="455945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67040" cy="4559453"/>
                    </a:xfrm>
                    <a:prstGeom prst="rect">
                      <a:avLst/>
                    </a:prstGeom>
                    <a:ln/>
                  </pic:spPr>
                </pic:pic>
              </a:graphicData>
            </a:graphic>
          </wp:inline>
        </w:drawing>
      </w:r>
    </w:p>
    <w:p w14:paraId="55E89938" w14:textId="77777777" w:rsidR="004647C6" w:rsidRDefault="004647C6">
      <w:pPr>
        <w:jc w:val="center"/>
        <w:rPr>
          <w:rFonts w:ascii="Times New Roman" w:eastAsia="Times New Roman" w:hAnsi="Times New Roman" w:cs="Times New Roman"/>
          <w:b/>
          <w:bCs/>
          <w:sz w:val="24"/>
          <w:szCs w:val="24"/>
        </w:rPr>
      </w:pPr>
    </w:p>
    <w:p w14:paraId="574AE05E"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E8E6CFB" w14:textId="6896B0B9"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DAFFA </w:t>
      </w:r>
      <w:r w:rsidR="00391DB0">
        <w:rPr>
          <w:rFonts w:ascii="Times New Roman" w:eastAsia="Times New Roman" w:hAnsi="Times New Roman" w:cs="Times New Roman"/>
          <w:b/>
          <w:bCs/>
          <w:sz w:val="24"/>
          <w:szCs w:val="24"/>
        </w:rPr>
        <w:t>PRATAMA PUTRA</w:t>
      </w:r>
      <w:r>
        <w:rPr>
          <w:rFonts w:ascii="Times New Roman" w:eastAsia="Times New Roman" w:hAnsi="Times New Roman" w:cs="Times New Roman"/>
          <w:b/>
          <w:bCs/>
          <w:sz w:val="24"/>
          <w:szCs w:val="24"/>
        </w:rPr>
        <w:t xml:space="preserve">| </w:t>
      </w:r>
      <w:r w:rsidR="00391DB0">
        <w:rPr>
          <w:rFonts w:ascii="Times New Roman" w:eastAsia="Times New Roman" w:hAnsi="Times New Roman" w:cs="Times New Roman"/>
          <w:b/>
          <w:bCs/>
          <w:sz w:val="24"/>
          <w:szCs w:val="24"/>
        </w:rPr>
        <w:t>1232712004</w:t>
      </w:r>
    </w:p>
    <w:p w14:paraId="68F7DC88" w14:textId="3AE3F034" w:rsidR="004647C6" w:rsidRDefault="00391D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 </w:t>
      </w:r>
      <w:r w:rsidR="00000000">
        <w:rPr>
          <w:rFonts w:ascii="Times New Roman" w:eastAsia="Times New Roman" w:hAnsi="Times New Roman" w:cs="Times New Roman"/>
          <w:b/>
          <w:bCs/>
          <w:sz w:val="24"/>
          <w:szCs w:val="24"/>
        </w:rPr>
        <w:t>FADHILAH</w:t>
      </w:r>
      <w:r>
        <w:rPr>
          <w:rFonts w:ascii="Times New Roman" w:eastAsia="Times New Roman" w:hAnsi="Times New Roman" w:cs="Times New Roman"/>
          <w:b/>
          <w:bCs/>
          <w:sz w:val="24"/>
          <w:szCs w:val="24"/>
        </w:rPr>
        <w:t xml:space="preserve"> YANWAR K.</w:t>
      </w:r>
      <w:r w:rsidR="0000000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1232712001</w:t>
      </w:r>
    </w:p>
    <w:p w14:paraId="07D43749" w14:textId="77777777" w:rsidR="004647C6" w:rsidRDefault="004647C6">
      <w:pPr>
        <w:jc w:val="center"/>
        <w:rPr>
          <w:rFonts w:ascii="Times New Roman" w:eastAsia="Times New Roman" w:hAnsi="Times New Roman" w:cs="Times New Roman"/>
          <w:b/>
          <w:bCs/>
          <w:sz w:val="24"/>
          <w:szCs w:val="24"/>
        </w:rPr>
      </w:pPr>
    </w:p>
    <w:p w14:paraId="735991E1" w14:textId="77777777" w:rsidR="004647C6" w:rsidRDefault="004647C6">
      <w:pPr>
        <w:jc w:val="center"/>
        <w:rPr>
          <w:rFonts w:ascii="Times New Roman" w:eastAsia="Times New Roman" w:hAnsi="Times New Roman" w:cs="Times New Roman"/>
          <w:b/>
          <w:bCs/>
          <w:sz w:val="24"/>
          <w:szCs w:val="24"/>
        </w:rPr>
      </w:pPr>
    </w:p>
    <w:p w14:paraId="4E3E64F1" w14:textId="77777777" w:rsidR="004647C6" w:rsidRDefault="004647C6">
      <w:pPr>
        <w:jc w:val="center"/>
        <w:rPr>
          <w:rFonts w:ascii="Times New Roman" w:eastAsia="Times New Roman" w:hAnsi="Times New Roman" w:cs="Times New Roman"/>
          <w:b/>
          <w:bCs/>
          <w:sz w:val="24"/>
          <w:szCs w:val="24"/>
        </w:rPr>
      </w:pPr>
    </w:p>
    <w:p w14:paraId="4AB3434C" w14:textId="77777777" w:rsidR="004647C6" w:rsidRDefault="004647C6">
      <w:pPr>
        <w:rPr>
          <w:rFonts w:ascii="Times New Roman" w:eastAsia="Times New Roman" w:hAnsi="Times New Roman" w:cs="Times New Roman"/>
          <w:b/>
          <w:bCs/>
          <w:sz w:val="24"/>
          <w:szCs w:val="24"/>
        </w:rPr>
      </w:pPr>
    </w:p>
    <w:p w14:paraId="5A299AF7" w14:textId="77777777" w:rsidR="004647C6" w:rsidRDefault="004647C6">
      <w:pPr>
        <w:jc w:val="center"/>
        <w:rPr>
          <w:rFonts w:ascii="Times New Roman" w:eastAsia="Times New Roman" w:hAnsi="Times New Roman" w:cs="Times New Roman"/>
          <w:b/>
          <w:bCs/>
          <w:sz w:val="24"/>
          <w:szCs w:val="24"/>
        </w:rPr>
      </w:pPr>
    </w:p>
    <w:p w14:paraId="092AE634" w14:textId="77777777" w:rsidR="004647C6" w:rsidRDefault="004647C6">
      <w:pPr>
        <w:rPr>
          <w:rFonts w:ascii="Times New Roman" w:eastAsia="Times New Roman" w:hAnsi="Times New Roman" w:cs="Times New Roman"/>
          <w:b/>
          <w:bCs/>
          <w:sz w:val="24"/>
          <w:szCs w:val="24"/>
        </w:rPr>
      </w:pPr>
    </w:p>
    <w:p w14:paraId="4DCDFEA7" w14:textId="77777777" w:rsidR="004647C6" w:rsidRDefault="004647C6">
      <w:pPr>
        <w:jc w:val="center"/>
        <w:rPr>
          <w:rFonts w:ascii="Times New Roman" w:eastAsia="Times New Roman" w:hAnsi="Times New Roman" w:cs="Times New Roman"/>
          <w:b/>
          <w:bCs/>
          <w:sz w:val="24"/>
          <w:szCs w:val="24"/>
        </w:rPr>
      </w:pPr>
    </w:p>
    <w:p w14:paraId="72AF3B7C" w14:textId="77777777" w:rsidR="004647C6" w:rsidRDefault="004647C6">
      <w:pPr>
        <w:jc w:val="center"/>
        <w:rPr>
          <w:rFonts w:ascii="Times New Roman" w:eastAsia="Times New Roman" w:hAnsi="Times New Roman" w:cs="Times New Roman"/>
          <w:b/>
          <w:bCs/>
          <w:sz w:val="24"/>
          <w:szCs w:val="24"/>
        </w:rPr>
      </w:pPr>
    </w:p>
    <w:p w14:paraId="4789F6B0"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SISTEM INFORMASI</w:t>
      </w:r>
    </w:p>
    <w:p w14:paraId="12C9947C"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TEKNIK DAN ILMU KOMPUTER</w:t>
      </w:r>
    </w:p>
    <w:p w14:paraId="5A5204A7"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BAKRIE</w:t>
      </w:r>
    </w:p>
    <w:p w14:paraId="17896FEF" w14:textId="77777777" w:rsidR="004647C6"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0E97E192" w14:textId="77777777" w:rsidR="004647C6"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PENDAHULUAN</w:t>
      </w:r>
    </w:p>
    <w:p w14:paraId="73B544ED"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Lokasi dan objek target</w:t>
      </w:r>
    </w:p>
    <w:p w14:paraId="0C221C5B"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Secara geografis Kota Padang Panjang merupakan salah satu kota administratif pada Provinsi Sumatera yang terletak pada kawasan dataran tinggi, tepatnya berada di jalur silang perbukitan antara Gunung Marapi, Gunung Singgalang, dan Gunung Tandikat (BPS Kota Padang, 2024). Kota Padang Panjang berada pada ketinggian rata-rata 650 sampai 850 mdpl. Kota Padang Panjang memiliki karakteristik iklim mikro yang cenderung basah dengan curah huujan yang relatif tinggi sepanjang tahun. Kota Padang Panjang memiliki kondisi topografi yang bergelombang dan berlereng. Hal ini menunjukkan bahwa Kota Padang Panjang memiliki posisi ekologis yang sangat vital, terutama sebagai kawasan tangkapan air yang dapat menyokong hidrologis bagi daerah-daerah dataran rendah di sekitarnya (Wahyu &amp; Subiyanto, 2020).</w:t>
      </w:r>
    </w:p>
    <w:p w14:paraId="13A68409"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Pada penelitian ini, objek target utama yang akan dianalisis merupakan total tutupan vegetasi dan sebaran ruang terbuka hijau (RTH) yang berada dalam batas adminstratif Kota Padang Panjang. Tutupan vegetasi pada wilayah ini merupakan hal penting yang perlu dianalisis, karena mencakup fungsi ekologis sebagai pengontrol erosi pada lahan berlereng curam, penjaga stabilitas suhu udara makro, serta sebagai habitat keanekaragaman hayati (Sari &amp; Prakoso, 2021). Namun, seiringnya pembangunan fisik dan pertumbuhan aktivitas penduduk, terdapat berbagai ancaman bagi RTH pada daerah perkotaan dialokasikan (Prasetyo &amp; Buchori, 2022). Oleh karena itu, inventarisasi dan pemantauan dinamika vegetasi secara berkala diperlukan. Hal ini untuk memastikan pembangunan kota tetap berbasis pada prinsip keberlanjutan lingkungan.</w:t>
      </w:r>
    </w:p>
    <w:p w14:paraId="762410DA"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Rumusan masalah</w:t>
      </w:r>
    </w:p>
    <w:p w14:paraId="60A77540"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Laporan ini bertujuan untuk menjawab permasalahan mengenai bagaimanakah tren dan persebaran spasial dari dinamika tutupan vegetasi di Kota Padang Panjang pada tahun 2024 sampai 2025 serta seberapa tinggi tingkat akurasi dan keandalan algoritma </w:t>
      </w:r>
      <w:r>
        <w:rPr>
          <w:rFonts w:ascii="Times New Roman" w:eastAsia="Times New Roman" w:hAnsi="Times New Roman" w:cs="Times New Roman"/>
          <w:i/>
          <w:iCs/>
          <w:sz w:val="24"/>
          <w:szCs w:val="24"/>
        </w:rPr>
        <w:t xml:space="preserve">machine learning random forest </w:t>
      </w:r>
      <w:r>
        <w:rPr>
          <w:rFonts w:ascii="Times New Roman" w:eastAsia="Times New Roman" w:hAnsi="Times New Roman" w:cs="Times New Roman"/>
          <w:sz w:val="24"/>
          <w:szCs w:val="24"/>
        </w:rPr>
        <w:t>dalam memetakan tutupan vegetasi tersebut dengan basis data citra satelit sentinel-2.</w:t>
      </w:r>
    </w:p>
    <w:p w14:paraId="134A1469" w14:textId="77777777" w:rsidR="004647C6"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METODOLOGI</w:t>
      </w:r>
    </w:p>
    <w:p w14:paraId="1BFDB2CC"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Sumber data</w:t>
      </w:r>
    </w:p>
    <w:p w14:paraId="6EC10DDB"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Data spasial pada proyek ini memanfaatkan citra satelit optik dari sentinel-2 </w:t>
      </w:r>
      <w:r>
        <w:rPr>
          <w:rFonts w:ascii="Times New Roman" w:eastAsia="Times New Roman" w:hAnsi="Times New Roman" w:cs="Times New Roman"/>
          <w:i/>
          <w:iCs/>
          <w:sz w:val="24"/>
          <w:szCs w:val="24"/>
        </w:rPr>
        <w:t>surface reflectance</w:t>
      </w:r>
      <w:r>
        <w:rPr>
          <w:rFonts w:ascii="Times New Roman" w:eastAsia="Times New Roman" w:hAnsi="Times New Roman" w:cs="Times New Roman"/>
          <w:sz w:val="24"/>
          <w:szCs w:val="24"/>
        </w:rPr>
        <w:t xml:space="preserve"> (SR) harmonized yang diakses melalui Google Earth Engine. Pemilihan sensor sentinel-2 sangat ideal untuk skala perkotaan karena terdapat </w:t>
      </w:r>
      <w:r>
        <w:rPr>
          <w:rFonts w:ascii="Times New Roman" w:eastAsia="Times New Roman" w:hAnsi="Times New Roman" w:cs="Times New Roman"/>
          <w:sz w:val="24"/>
          <w:szCs w:val="24"/>
        </w:rPr>
        <w:lastRenderedPageBreak/>
        <w:t xml:space="preserve">keunggulan resolusi spasialnya yang mencapai ketelitian hingga 10 meter (European Space Agency, 2021). Penggunaan </w:t>
      </w:r>
      <w:r>
        <w:rPr>
          <w:rFonts w:ascii="Times New Roman" w:eastAsia="Times New Roman" w:hAnsi="Times New Roman" w:cs="Times New Roman"/>
          <w:i/>
          <w:iCs/>
          <w:sz w:val="24"/>
          <w:szCs w:val="24"/>
        </w:rPr>
        <w:t xml:space="preserve">surface reflecance </w:t>
      </w:r>
      <w:r>
        <w:rPr>
          <w:rFonts w:ascii="Times New Roman" w:eastAsia="Times New Roman" w:hAnsi="Times New Roman" w:cs="Times New Roman"/>
          <w:sz w:val="24"/>
          <w:szCs w:val="24"/>
        </w:rPr>
        <w:t xml:space="preserve">memiliki tahap koreksi atmosferik standar dalam mereduksi distorsi spektral objek di permukaan bumi (Phiri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2020). Sementara itu, periode analisis tahun 2024 dan 2025 ditujunkan dalam menangkap dinamika perubahan tutupan lahan jangka pendek terbaru secara aktual (Wahyudi &amp; Subiyanto, 2020).</w:t>
      </w:r>
    </w:p>
    <w:p w14:paraId="7F3D6AEA" w14:textId="77777777" w:rsidR="004647C6" w:rsidRDefault="00000000">
      <w:pPr>
        <w:spacing w:line="360" w:lineRule="auto"/>
        <w:ind w:left="7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2.2 Band, indeks vegetasi, dan </w:t>
      </w:r>
      <w:r>
        <w:rPr>
          <w:rFonts w:ascii="Times New Roman" w:eastAsia="Times New Roman" w:hAnsi="Times New Roman" w:cs="Times New Roman"/>
          <w:b/>
          <w:bCs/>
          <w:i/>
          <w:iCs/>
          <w:sz w:val="24"/>
          <w:szCs w:val="24"/>
        </w:rPr>
        <w:t>ground truth</w:t>
      </w:r>
    </w:p>
    <w:p w14:paraId="723B839F"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Ekstrasi fitur vegetasi perkotaan mengintegrasikan kombinasi </w:t>
      </w:r>
      <w:r>
        <w:rPr>
          <w:rFonts w:ascii="Times New Roman" w:eastAsia="Times New Roman" w:hAnsi="Times New Roman" w:cs="Times New Roman"/>
          <w:i/>
          <w:iCs/>
          <w:sz w:val="24"/>
          <w:szCs w:val="24"/>
        </w:rPr>
        <w:t xml:space="preserve">band </w:t>
      </w:r>
      <w:r>
        <w:rPr>
          <w:rFonts w:ascii="Times New Roman" w:eastAsia="Times New Roman" w:hAnsi="Times New Roman" w:cs="Times New Roman"/>
          <w:sz w:val="24"/>
          <w:szCs w:val="24"/>
        </w:rPr>
        <w:t xml:space="preserve">spektral utama yaitu sentinel-2, khususnya pada kanal </w:t>
      </w:r>
      <w:r>
        <w:rPr>
          <w:rFonts w:ascii="Times New Roman" w:eastAsia="Times New Roman" w:hAnsi="Times New Roman" w:cs="Times New Roman"/>
          <w:i/>
          <w:iCs/>
          <w:sz w:val="24"/>
          <w:szCs w:val="24"/>
        </w:rPr>
        <w:t xml:space="preserve">Red, Green, Blue,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 xml:space="preserve">Near-Infrared </w:t>
      </w:r>
      <w:r>
        <w:rPr>
          <w:rFonts w:ascii="Times New Roman" w:eastAsia="Times New Roman" w:hAnsi="Times New Roman" w:cs="Times New Roman"/>
          <w:sz w:val="24"/>
          <w:szCs w:val="24"/>
        </w:rPr>
        <w:t xml:space="preserve">atau NIR (European Space Agency, 2021). Penggunaan kanal spektral inframerah memiliki tingkat sensitivtas yang sangat tinggi terhadap kerapatan klorofil dalam vegetasi sehingga dapat memudahkan pemisahan objek vegetasi dari objek non-vegetasi (Phiri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 xml:space="preserve">2020). </w:t>
      </w:r>
      <w:r>
        <w:rPr>
          <w:rFonts w:ascii="Times New Roman" w:eastAsia="Times New Roman" w:hAnsi="Times New Roman" w:cs="Times New Roman"/>
          <w:i/>
          <w:iCs/>
          <w:sz w:val="24"/>
          <w:szCs w:val="24"/>
        </w:rPr>
        <w:t xml:space="preserve">Ground truth </w:t>
      </w:r>
      <w:r>
        <w:rPr>
          <w:rFonts w:ascii="Times New Roman" w:eastAsia="Times New Roman" w:hAnsi="Times New Roman" w:cs="Times New Roman"/>
          <w:sz w:val="24"/>
          <w:szCs w:val="24"/>
        </w:rPr>
        <w:t>dikumpulkan yang didapatkan melalui interpretasi visual citra resolusi tinggi secara langsung pada wilayah studi. Validasi tersebut dilakukan sehingga hasil yang didapatkan dapat mewakilkan karakteristik spasial dari setiap tutupan lahan.</w:t>
      </w:r>
    </w:p>
    <w:p w14:paraId="70356B43"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Keputusan model klasifikasi dan validasi</w:t>
      </w:r>
    </w:p>
    <w:p w14:paraId="4C60D6F6"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Klasifikasi tutupan lahan menerapkan algoritma </w:t>
      </w:r>
      <w:r>
        <w:rPr>
          <w:rFonts w:ascii="Times New Roman" w:eastAsia="Times New Roman" w:hAnsi="Times New Roman" w:cs="Times New Roman"/>
          <w:i/>
          <w:iCs/>
          <w:sz w:val="24"/>
          <w:szCs w:val="24"/>
        </w:rPr>
        <w:t xml:space="preserve">random forest </w:t>
      </w:r>
      <w:r>
        <w:rPr>
          <w:rFonts w:ascii="Times New Roman" w:eastAsia="Times New Roman" w:hAnsi="Times New Roman" w:cs="Times New Roman"/>
          <w:sz w:val="24"/>
          <w:szCs w:val="24"/>
        </w:rPr>
        <w:t xml:space="preserve">yang dikonfigurasikan menggunakan parameter 100 pohon (Gorelick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 xml:space="preserve">2017). Keputusan dalam klasifikasi ini unggul dalam menangani data multispektoral yang kompleks tanpa mengalami kendala </w:t>
      </w:r>
      <w:r>
        <w:rPr>
          <w:rFonts w:ascii="Times New Roman" w:eastAsia="Times New Roman" w:hAnsi="Times New Roman" w:cs="Times New Roman"/>
          <w:i/>
          <w:iCs/>
          <w:sz w:val="24"/>
          <w:szCs w:val="24"/>
        </w:rPr>
        <w:t xml:space="preserve">overfitting </w:t>
      </w:r>
      <w:r>
        <w:rPr>
          <w:rFonts w:ascii="Times New Roman" w:eastAsia="Times New Roman" w:hAnsi="Times New Roman" w:cs="Times New Roman"/>
          <w:sz w:val="24"/>
          <w:szCs w:val="24"/>
        </w:rPr>
        <w:t xml:space="preserve">(Belgiu, 2016). Selain itu, algoritma ini memiliki efisiensi komputasi yang sangat cepat ketika </w:t>
      </w:r>
      <w:r>
        <w:rPr>
          <w:rFonts w:ascii="Times New Roman" w:eastAsia="Times New Roman" w:hAnsi="Times New Roman" w:cs="Times New Roman"/>
          <w:i/>
          <w:iCs/>
          <w:sz w:val="24"/>
          <w:szCs w:val="24"/>
        </w:rPr>
        <w:t xml:space="preserve">running </w:t>
      </w:r>
      <w:r>
        <w:rPr>
          <w:rFonts w:ascii="Times New Roman" w:eastAsia="Times New Roman" w:hAnsi="Times New Roman" w:cs="Times New Roman"/>
          <w:sz w:val="24"/>
          <w:szCs w:val="24"/>
        </w:rPr>
        <w:t xml:space="preserve">(Gorelick </w:t>
      </w:r>
      <w:r>
        <w:rPr>
          <w:rFonts w:ascii="Times New Roman" w:eastAsia="Times New Roman" w:hAnsi="Times New Roman" w:cs="Times New Roman"/>
          <w:i/>
          <w:iCs/>
          <w:sz w:val="24"/>
          <w:szCs w:val="24"/>
        </w:rPr>
        <w:t xml:space="preserve">et al., </w:t>
      </w:r>
      <w:r>
        <w:rPr>
          <w:rFonts w:ascii="Times New Roman" w:eastAsia="Times New Roman" w:hAnsi="Times New Roman" w:cs="Times New Roman"/>
          <w:sz w:val="24"/>
          <w:szCs w:val="24"/>
        </w:rPr>
        <w:t xml:space="preserve">2017). Dalam pengujian model digunakan perbandingan data 70:30, 70% merupakan data </w:t>
      </w:r>
      <w:r>
        <w:rPr>
          <w:rFonts w:ascii="Times New Roman" w:eastAsia="Times New Roman" w:hAnsi="Times New Roman" w:cs="Times New Roman"/>
          <w:i/>
          <w:iCs/>
          <w:sz w:val="24"/>
          <w:szCs w:val="24"/>
        </w:rPr>
        <w:t>training</w:t>
      </w:r>
      <w:r>
        <w:rPr>
          <w:rFonts w:ascii="Times New Roman" w:eastAsia="Times New Roman" w:hAnsi="Times New Roman" w:cs="Times New Roman"/>
          <w:sz w:val="24"/>
          <w:szCs w:val="24"/>
        </w:rPr>
        <w:t xml:space="preserve"> sedangkan 30% merupakan data </w:t>
      </w:r>
      <w:r>
        <w:rPr>
          <w:rFonts w:ascii="Times New Roman" w:eastAsia="Times New Roman" w:hAnsi="Times New Roman" w:cs="Times New Roman"/>
          <w:i/>
          <w:iCs/>
          <w:sz w:val="24"/>
          <w:szCs w:val="24"/>
        </w:rPr>
        <w:t>testing</w:t>
      </w:r>
      <w:r>
        <w:rPr>
          <w:rFonts w:ascii="Times New Roman" w:eastAsia="Times New Roman" w:hAnsi="Times New Roman" w:cs="Times New Roman"/>
          <w:sz w:val="24"/>
          <w:szCs w:val="24"/>
        </w:rPr>
        <w:t>.</w:t>
      </w:r>
    </w:p>
    <w:p w14:paraId="3A236B51" w14:textId="77777777" w:rsidR="004647C6"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EVALUASI MODEL DAN HASIL KLASIFIKASI</w:t>
      </w:r>
    </w:p>
    <w:p w14:paraId="7BD8D4FE"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Evaluasi performa model (Metrik APRF)</w:t>
      </w:r>
    </w:p>
    <w:p w14:paraId="48701AEB"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Berdasarkan hasil kalkulasi matriks evaluasi pada sistem, model klasifikasi yang dihasilkan menghasilkan performa yang sangat tinggi, dengan nilai akurasi mencapai 98,37% dan nilai F-1 sebesar 98,51%. Dalam pemetaan tematik berbasis citra satelit perkotaan, capaian akurasi di atas 85% dikategorikan memadai dan valid untuk analisis kewilayahan (Phiri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Oleh karena itu, hasil evluasi model yang dihasilkan membuktikan bahwa integrasi prediktor spektral cittra sentiner-2 dengan algoritma </w:t>
      </w:r>
      <w:r>
        <w:rPr>
          <w:rFonts w:ascii="Times New Roman" w:eastAsia="Times New Roman" w:hAnsi="Times New Roman" w:cs="Times New Roman"/>
          <w:i/>
          <w:iCs/>
          <w:sz w:val="24"/>
          <w:szCs w:val="24"/>
        </w:rPr>
        <w:t xml:space="preserve">random forest </w:t>
      </w:r>
      <w:r>
        <w:rPr>
          <w:rFonts w:ascii="Times New Roman" w:eastAsia="Times New Roman" w:hAnsi="Times New Roman" w:cs="Times New Roman"/>
          <w:sz w:val="24"/>
          <w:szCs w:val="24"/>
        </w:rPr>
        <w:t xml:space="preserve">sangat optimal. Tingginya nilai F-1 </w:t>
      </w:r>
      <w:r>
        <w:rPr>
          <w:rFonts w:ascii="Times New Roman" w:eastAsia="Times New Roman" w:hAnsi="Times New Roman" w:cs="Times New Roman"/>
          <w:i/>
          <w:iCs/>
          <w:sz w:val="24"/>
          <w:szCs w:val="24"/>
        </w:rPr>
        <w:t xml:space="preserve">score </w:t>
      </w:r>
      <w:r>
        <w:rPr>
          <w:rFonts w:ascii="Times New Roman" w:eastAsia="Times New Roman" w:hAnsi="Times New Roman" w:cs="Times New Roman"/>
          <w:sz w:val="24"/>
          <w:szCs w:val="24"/>
        </w:rPr>
        <w:t xml:space="preserve">menunjukkan bahwa model yang dihasilkan memiliki tingkat kesalahan prediksi yang sangat minim. Hal ini </w:t>
      </w:r>
      <w:r>
        <w:rPr>
          <w:rFonts w:ascii="Times New Roman" w:eastAsia="Times New Roman" w:hAnsi="Times New Roman" w:cs="Times New Roman"/>
          <w:sz w:val="24"/>
          <w:szCs w:val="24"/>
        </w:rPr>
        <w:lastRenderedPageBreak/>
        <w:t>menunjukkan bahwa model yang dihasilkan dapat membedakan spektral vegetasi aktif dari objek non-vegetasi pada wilayah tinggi.</w:t>
      </w:r>
    </w:p>
    <w:p w14:paraId="0FC592F3"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Hasil klasifikasi luas vegetasi tahunan</w:t>
      </w:r>
    </w:p>
    <w:p w14:paraId="29A32522"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Berdasarkan area kajian pada batas administratif Kota Padang Panjang yang memiliki total luas 2.102,89 ha, terdapat hasil ekstrasi hasil luasan tutupan vegetasi tahunan. Peta tematik yang dihasilkan menunjukkan hasil luasan yang dinamis pada dua periode pengamatan:</w:t>
      </w:r>
    </w:p>
    <w:p w14:paraId="72D44D4F" w14:textId="77777777" w:rsidR="004647C6"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Tahun 2024: luas vegetasi seluas 1.362,58 ha atau sekitar 64,79% dari total luas area kajian</w:t>
      </w:r>
    </w:p>
    <w:p w14:paraId="55A6C63C" w14:textId="77777777" w:rsidR="004647C6"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Tahun 2025: luas vegetasi seluas 1.491,82 ha atau sekitar 70,49% dari total luas area kajian</w:t>
      </w:r>
    </w:p>
    <w:p w14:paraId="7A0FD36B" w14:textId="77777777" w:rsidR="004647C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Tingginya persentase tutupan lahan hijau yang di atas 60% pada kedua periode tahun tersebut menunjukkan bahwa Kota Padang Panjang masih mempertahankan fungsi ekologis kawasannya. Jika dilihat berdasarkan proporsi tahun 2024 dan tahun 2025 mayoritas wilayah Padang Panjang masih diselimuti oleh vegetasi rapat, baik berupa hutan sekunder, perkebunan rakyat, maupun vegetasi perkotaan. Are non-vegetasi hanya menyusun sisa persentase luasan yaitu sekitar 35,21% pada tahun 2024 dan berkurang menjadi 29,06% pada tahun 2025. Perubahan angka ini mencerminkan adanya transisi lanskap yang dinamis dalam periode waktu satu tahun. Peningkatan luasan vegetasi ini dapat dijadikan sebagai indikator awal bahwa kebijakan proteksi kawasan hijau berjalan beriringan denga  proses suksesi alama vegetasi lokal (Wahyudi &amp; Subiyanto, 2020). Data luasan tahunan ini akan dijadikan sebagai landasan utama dalam menganalisis arah dinamika spasial lanskap kota pada tahapan analisis berikutnya.</w:t>
      </w:r>
    </w:p>
    <w:p w14:paraId="4C2EB817" w14:textId="77777777" w:rsidR="004647C6"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PERUBAHAN</w:t>
      </w:r>
    </w:p>
    <w:p w14:paraId="37592CE3"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Dinamika spasial perubahan lahan</w:t>
      </w:r>
    </w:p>
    <w:p w14:paraId="731BD4D5"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Dalam menganalisis dinamika spasial perubahan lahan pada proyek ini menerapkan metode perbandingan pasca-klasifikasi untuk melacak interaksi spasial dan arah konversi lahan secara </w:t>
      </w:r>
      <w:r>
        <w:rPr>
          <w:rFonts w:ascii="Times New Roman" w:eastAsia="Times New Roman" w:hAnsi="Times New Roman" w:cs="Times New Roman"/>
          <w:i/>
          <w:iCs/>
          <w:sz w:val="24"/>
          <w:szCs w:val="24"/>
        </w:rPr>
        <w:t xml:space="preserve">multi-temporal </w:t>
      </w:r>
      <w:r>
        <w:rPr>
          <w:rFonts w:ascii="Times New Roman" w:eastAsia="Times New Roman" w:hAnsi="Times New Roman" w:cs="Times New Roman"/>
          <w:sz w:val="24"/>
          <w:szCs w:val="24"/>
        </w:rPr>
        <w:t>dari tahun 2024 sampai 2025. Berdasarkan perhitungan tersebut, dinamika perubahan vegetasi dikelompokkan menjadi dua komponen utama, yaitu pertambahan dan pengurangan. Hasil perhitungan spasial yang diperoleh adalah sebagai berikut:</w:t>
      </w:r>
    </w:p>
    <w:p w14:paraId="0DC0DD74" w14:textId="77777777" w:rsidR="004647C6"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Pertambahan vegetasi memberikan luasan sebesar +176,76 ha</w:t>
      </w:r>
    </w:p>
    <w:p w14:paraId="3AFC582C" w14:textId="77777777" w:rsidR="004647C6"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Pengurangan vegetasi sebesar -47,52 ha</w:t>
      </w:r>
    </w:p>
    <w:p w14:paraId="7DCF7030" w14:textId="77777777" w:rsidR="004647C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Hal tersebut menunjukkan bahwa Kota Padang panjang mengalami perubahan bersih vegetasi yang bernilai positif yang sebesat +129,24 ha atau sekitar +9,49% dalam pertumbuhan luasan daerah hijau dari awal tahun 2024. Dinamika ini menunjukkan bahwa lanskap Kota Padang Panjang sangat aktif bergerak. Adanya area </w:t>
      </w:r>
      <w:r>
        <w:rPr>
          <w:rFonts w:ascii="Times New Roman" w:eastAsia="Times New Roman" w:hAnsi="Times New Roman" w:cs="Times New Roman"/>
          <w:i/>
          <w:iCs/>
          <w:sz w:val="24"/>
          <w:szCs w:val="24"/>
        </w:rPr>
        <w:t xml:space="preserve">gain </w:t>
      </w:r>
      <w:r>
        <w:rPr>
          <w:rFonts w:ascii="Times New Roman" w:eastAsia="Times New Roman" w:hAnsi="Times New Roman" w:cs="Times New Roman"/>
          <w:sz w:val="24"/>
          <w:szCs w:val="24"/>
        </w:rPr>
        <w:t xml:space="preserve">yang mendominasi menunjukkan adalanya pemulihan lahan, sedangkan area </w:t>
      </w:r>
      <w:r>
        <w:rPr>
          <w:rFonts w:ascii="Times New Roman" w:eastAsia="Times New Roman" w:hAnsi="Times New Roman" w:cs="Times New Roman"/>
          <w:i/>
          <w:iCs/>
          <w:sz w:val="24"/>
          <w:szCs w:val="24"/>
        </w:rPr>
        <w:t xml:space="preserve">loss </w:t>
      </w:r>
      <w:r>
        <w:rPr>
          <w:rFonts w:ascii="Times New Roman" w:eastAsia="Times New Roman" w:hAnsi="Times New Roman" w:cs="Times New Roman"/>
          <w:sz w:val="24"/>
          <w:szCs w:val="24"/>
        </w:rPr>
        <w:t>yang minimal membuktikan bahwa ekspansi area terbangun masih berjalan namun terkontrol di bawah koridor perencanaan wilayah yang baik (Praestyo &amp; Buchori, 2022). Maka dari itu ekosistem perkotaan di Kota Padang Panjang tidak sedang berada dalam fase deforestasi atau kerusakan lingkungan yang mengkhawatirkan (Sari &amp; Prakoso, 2021).</w:t>
      </w:r>
    </w:p>
    <w:p w14:paraId="1A0FEA56"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Interpretasi spasial</w:t>
      </w:r>
    </w:p>
    <w:p w14:paraId="6F9D9352"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Analisis spasial yang sudah dilakukan menunjukkan tren pemulihan lanskap hijau yang sangat baik di Kota Padang Panjang. Jika ditinjau berdasarkan distribusi geografis, klaster berwarna biru (</w:t>
      </w:r>
      <w:r>
        <w:rPr>
          <w:rFonts w:ascii="Times New Roman" w:eastAsia="Times New Roman" w:hAnsi="Times New Roman" w:cs="Times New Roman"/>
          <w:i/>
          <w:iCs/>
          <w:sz w:val="24"/>
          <w:szCs w:val="24"/>
        </w:rPr>
        <w:t>gain</w:t>
      </w:r>
      <w:r>
        <w:rPr>
          <w:rFonts w:ascii="Times New Roman" w:eastAsia="Times New Roman" w:hAnsi="Times New Roman" w:cs="Times New Roman"/>
          <w:sz w:val="24"/>
          <w:szCs w:val="24"/>
        </w:rPr>
        <w:t>) terlihat mendominasi kawasan berlereng di pinggiran kota dan area perbukitan. Hal ini menunjukkan bahwa fenomena pertambahan ini sebagai dampak positif dari efektivitas implementasi kebijakan target ruang terbuka hijau oleh pemerintah daerah, serta adanya regulasi zonasi yang dapat menjawa wilayah penyangga dataran tinggi dari alih fungsi lahan yang masif. Selain itu, kondisi iklim mikro Padang Panjang yang basah dengan curah hujan tinggi dapat memicu regenerasi alamiah dan suksesi vegetasi sekunder pada lahan-lahan yang tidak digunakan (Wahyudi &amp; Subiyanto, 2020).</w:t>
      </w:r>
    </w:p>
    <w:p w14:paraId="0B29A5D5" w14:textId="77777777" w:rsidR="004647C6"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Sedangkan sebaran piksel berwarna merah (</w:t>
      </w:r>
      <w:r>
        <w:rPr>
          <w:rFonts w:ascii="Times New Roman" w:eastAsia="Times New Roman" w:hAnsi="Times New Roman" w:cs="Times New Roman"/>
          <w:i/>
          <w:iCs/>
          <w:sz w:val="24"/>
          <w:szCs w:val="24"/>
        </w:rPr>
        <w:t>loss</w:t>
      </w:r>
      <w:r>
        <w:rPr>
          <w:rFonts w:ascii="Times New Roman" w:eastAsia="Times New Roman" w:hAnsi="Times New Roman" w:cs="Times New Roman"/>
          <w:sz w:val="24"/>
          <w:szCs w:val="24"/>
        </w:rPr>
        <w:t xml:space="preserve">) terfragmentasi polanya secara acak, terutama pada area yang berdekekatan dengan pusat aktivitas perkotaan dan pemukiman utama. Fenomena pengurangn ini menunjukkan adanya efek urbanisasi berupa konversi vegertasi skala kecil untuk pembaungan infrastruktut fisik, perluasan bangunan, atau fasilitas publik. Meskipun hasil akumulasi nilai </w:t>
      </w:r>
      <w:r>
        <w:rPr>
          <w:rFonts w:ascii="Times New Roman" w:eastAsia="Times New Roman" w:hAnsi="Times New Roman" w:cs="Times New Roman"/>
          <w:i/>
          <w:iCs/>
          <w:sz w:val="24"/>
          <w:szCs w:val="24"/>
        </w:rPr>
        <w:t xml:space="preserve">loss </w:t>
      </w:r>
      <w:r>
        <w:rPr>
          <w:rFonts w:ascii="Times New Roman" w:eastAsia="Times New Roman" w:hAnsi="Times New Roman" w:cs="Times New Roman"/>
          <w:sz w:val="24"/>
          <w:szCs w:val="24"/>
        </w:rPr>
        <w:t>ini hanya sedikit, apabila konversi lahan hijau skala kecil ini terus dilakukan tanpa adanya kewajiban dalam menanam kembali maka risiko penurunan kapasitas infilitrasi air hujan yang dapat menyebabkan banjir serta timbulnya efek panas pada area perkotaan yang dapat memicu kekeringan di area perkotaan dapat meningkat seiring berjalannya waktu.</w:t>
      </w:r>
    </w:p>
    <w:p w14:paraId="57CB855D" w14:textId="77777777" w:rsidR="004647C6"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PENUTUP</w:t>
      </w:r>
    </w:p>
    <w:p w14:paraId="35C82856"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Keterbatasan penelitian</w:t>
      </w:r>
    </w:p>
    <w:p w14:paraId="5AC04621"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Penelitian spasial berbasis komputasi ini memiliki keterbatasan teknis dari spesifikasi gemetris citra. Karakteristik resolusi spasial satelit senitenl-2 membatasi proses klasifikasi (European Space Agency 2021). Sehingga elemen vegetasi mikro </w:t>
      </w:r>
      <w:r>
        <w:rPr>
          <w:rFonts w:ascii="Times New Roman" w:eastAsia="Times New Roman" w:hAnsi="Times New Roman" w:cs="Times New Roman"/>
          <w:sz w:val="24"/>
          <w:szCs w:val="24"/>
        </w:rPr>
        <w:lastRenderedPageBreak/>
        <w:t xml:space="preserve">perkotaan seperti pohon peneduh di pinggir jalan tidak dapat terekam sebagai vegetasi murni (Phiri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Selain itu, letak geografis wilayah studi yang berada pada dataran tinggi menyebabkan tingginya frekuensi gangguan tutupan awan (Runtunuwu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2021). Meskipun telah dilakukan pembersihan awan menggunakan </w:t>
      </w:r>
      <w:r>
        <w:rPr>
          <w:rFonts w:ascii="Times New Roman" w:eastAsia="Times New Roman" w:hAnsi="Times New Roman" w:cs="Times New Roman"/>
          <w:i/>
          <w:iCs/>
          <w:sz w:val="24"/>
          <w:szCs w:val="24"/>
        </w:rPr>
        <w:t>cloud masking</w:t>
      </w:r>
      <w:r>
        <w:rPr>
          <w:rFonts w:ascii="Times New Roman" w:eastAsia="Times New Roman" w:hAnsi="Times New Roman" w:cs="Times New Roman"/>
          <w:sz w:val="24"/>
          <w:szCs w:val="24"/>
        </w:rPr>
        <w:t xml:space="preserve">, potensi </w:t>
      </w:r>
      <w:r>
        <w:rPr>
          <w:rFonts w:ascii="Times New Roman" w:eastAsia="Times New Roman" w:hAnsi="Times New Roman" w:cs="Times New Roman"/>
          <w:i/>
          <w:iCs/>
          <w:sz w:val="24"/>
          <w:szCs w:val="24"/>
        </w:rPr>
        <w:t xml:space="preserve">noise </w:t>
      </w:r>
      <w:r>
        <w:rPr>
          <w:rFonts w:ascii="Times New Roman" w:eastAsia="Times New Roman" w:hAnsi="Times New Roman" w:cs="Times New Roman"/>
          <w:sz w:val="24"/>
          <w:szCs w:val="24"/>
        </w:rPr>
        <w:t xml:space="preserve"> spektral akibat efek bayangan awan tipis tetap dapat memngaruhi nilai reflektansi objek (Gorelick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2017).</w:t>
      </w:r>
    </w:p>
    <w:p w14:paraId="1D4F467E"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Kesimpulan</w:t>
      </w:r>
    </w:p>
    <w:p w14:paraId="055015D6"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Berdasarkan hasil pemrosesan data, pengujian model </w:t>
      </w:r>
      <w:r>
        <w:rPr>
          <w:rFonts w:ascii="Times New Roman" w:eastAsia="Times New Roman" w:hAnsi="Times New Roman" w:cs="Times New Roman"/>
          <w:i/>
          <w:iCs/>
          <w:sz w:val="24"/>
          <w:szCs w:val="24"/>
        </w:rPr>
        <w:t xml:space="preserve">machine learning </w:t>
      </w:r>
      <w:r>
        <w:rPr>
          <w:rFonts w:ascii="Times New Roman" w:eastAsia="Times New Roman" w:hAnsi="Times New Roman" w:cs="Times New Roman"/>
          <w:sz w:val="24"/>
          <w:szCs w:val="24"/>
        </w:rPr>
        <w:t>dan analisis spasial yang telah dilakukan dalam proyek ini, ditarik beberapa kesimpuulan sebagai berikut:</w:t>
      </w:r>
    </w:p>
    <w:p w14:paraId="6C625FD9" w14:textId="77777777" w:rsidR="004647C6"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Implementasi algoritma </w:t>
      </w:r>
      <w:r>
        <w:rPr>
          <w:rFonts w:ascii="Times New Roman" w:eastAsia="Times New Roman" w:hAnsi="Times New Roman" w:cs="Times New Roman"/>
          <w:i/>
          <w:iCs/>
          <w:sz w:val="24"/>
          <w:szCs w:val="24"/>
        </w:rPr>
        <w:t xml:space="preserve">random forest </w:t>
      </w:r>
      <w:r>
        <w:rPr>
          <w:rFonts w:ascii="Times New Roman" w:eastAsia="Times New Roman" w:hAnsi="Times New Roman" w:cs="Times New Roman"/>
          <w:sz w:val="24"/>
          <w:szCs w:val="24"/>
        </w:rPr>
        <w:t>dengan parameter konfigurasi 100 pohon pada citra satelit sentinel-2 SR Harmonized terbukti presisi untuk pemetaan tutupan lahan di wilayah dataran tinggi, dengan nilai akurasi 98,37% dan nilai F1-</w:t>
      </w:r>
      <w:r>
        <w:rPr>
          <w:rFonts w:ascii="Times New Roman" w:eastAsia="Times New Roman" w:hAnsi="Times New Roman" w:cs="Times New Roman"/>
          <w:i/>
          <w:iCs/>
          <w:sz w:val="24"/>
          <w:szCs w:val="24"/>
        </w:rPr>
        <w:t xml:space="preserve">Score </w:t>
      </w:r>
      <w:r>
        <w:rPr>
          <w:rFonts w:ascii="Times New Roman" w:eastAsia="Times New Roman" w:hAnsi="Times New Roman" w:cs="Times New Roman"/>
          <w:sz w:val="24"/>
          <w:szCs w:val="24"/>
        </w:rPr>
        <w:t>98,51%.</w:t>
      </w:r>
    </w:p>
    <w:p w14:paraId="1503EF03" w14:textId="77777777" w:rsidR="004647C6"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Selama periode tahun 2024 hingga 2025, ekosistem tutupan vegetasi di Kota Pandang Panjang menunjukkan tren perkembangan lanskap yang positif. Luasan vegetasi mengalami peningkatan dari 1.362,58 ha pada tahun 2024 menjadi 1.491,82 ha pada tahun 2025.</w:t>
      </w:r>
    </w:p>
    <w:p w14:paraId="52F4FE36" w14:textId="77777777" w:rsidR="004647C6"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deteksi perubahan lahan perkotaan terdapat komponen pertambahan vegetasi sebesar +176,76 ha yang mendominasi kawasan perbukitan dan pinggiran kota, hal ini merupakan dampak positif adanya efketivitas pengawasan zonasi ruang hijau dan proses sukses alami. Sebaliknya, komponen pengurangan vegetasi sebesar -47,52 ha yang berada di dekat pusat aktivitias pemukiman. Kota Padang Panjang menunjukkan adanya perubahan net change positif sebesar +129,24 ha, yang menunjukkan bahwa laju pemulihan lingkungan berjalan jauh lebih cepat dibandingkan dengan laju degradasinya akibat urbanisasi.</w:t>
      </w:r>
    </w:p>
    <w:p w14:paraId="1BC93955" w14:textId="77777777" w:rsidR="004647C6" w:rsidRDefault="00000000">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Tautan lampiran</w:t>
      </w:r>
    </w:p>
    <w:p w14:paraId="11A931F2" w14:textId="77777777" w:rsidR="004647C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Seluruh sumber komputas, skrip pemrosesan data spasial, dan aplikasi peta interaktif dapat diakses publik melalui tautan berikut:</w:t>
      </w:r>
    </w:p>
    <w:p w14:paraId="22EDD001" w14:textId="77777777" w:rsidR="004647C6"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Repositori kode &amp; data (GitHub): </w:t>
      </w:r>
      <w:hyperlink r:id="rId6">
        <w:r>
          <w:rPr>
            <w:rFonts w:ascii="Times New Roman" w:eastAsia="Times New Roman" w:hAnsi="Times New Roman" w:cs="Times New Roman"/>
            <w:color w:val="1155CC"/>
            <w:sz w:val="24"/>
            <w:szCs w:val="24"/>
            <w:u w:val="single"/>
          </w:rPr>
          <w:t>https://github.com/DxFaa/SpatialPadangPanjang.git</w:t>
        </w:r>
      </w:hyperlink>
      <w:r>
        <w:rPr>
          <w:rFonts w:ascii="Times New Roman" w:eastAsia="Times New Roman" w:hAnsi="Times New Roman" w:cs="Times New Roman"/>
          <w:sz w:val="24"/>
          <w:szCs w:val="24"/>
        </w:rPr>
        <w:t xml:space="preserve"> </w:t>
      </w:r>
    </w:p>
    <w:p w14:paraId="18518DF5" w14:textId="77777777" w:rsidR="004647C6" w:rsidRDefault="00000000">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2DF030F" wp14:editId="508529C5">
            <wp:extent cx="4776788" cy="268991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776788" cy="2689919"/>
                    </a:xfrm>
                    <a:prstGeom prst="rect">
                      <a:avLst/>
                    </a:prstGeom>
                    <a:ln/>
                  </pic:spPr>
                </pic:pic>
              </a:graphicData>
            </a:graphic>
          </wp:inline>
        </w:drawing>
      </w:r>
    </w:p>
    <w:p w14:paraId="0BBFB072" w14:textId="77777777" w:rsidR="004647C6"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Aplikasi dashboard interaktif (WebGIS): </w:t>
      </w:r>
      <w:hyperlink r:id="rId8">
        <w:r>
          <w:rPr>
            <w:rFonts w:ascii="Times New Roman" w:eastAsia="Times New Roman" w:hAnsi="Times New Roman" w:cs="Times New Roman"/>
            <w:color w:val="1155CC"/>
            <w:sz w:val="24"/>
            <w:szCs w:val="24"/>
            <w:u w:val="single"/>
          </w:rPr>
          <w:t>https://spatial-padang-panjang.vercel.app/webgis/index.html#</w:t>
        </w:r>
      </w:hyperlink>
      <w:r>
        <w:rPr>
          <w:rFonts w:ascii="Times New Roman" w:eastAsia="Times New Roman" w:hAnsi="Times New Roman" w:cs="Times New Roman"/>
          <w:sz w:val="24"/>
          <w:szCs w:val="24"/>
        </w:rPr>
        <w:t xml:space="preserve"> </w:t>
      </w:r>
    </w:p>
    <w:p w14:paraId="53E0C0FB" w14:textId="77777777" w:rsidR="004647C6" w:rsidRDefault="00000000">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A043CF" wp14:editId="62561C7C">
            <wp:extent cx="4803119" cy="2704747"/>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803119" cy="2704747"/>
                    </a:xfrm>
                    <a:prstGeom prst="rect">
                      <a:avLst/>
                    </a:prstGeom>
                    <a:ln/>
                  </pic:spPr>
                </pic:pic>
              </a:graphicData>
            </a:graphic>
          </wp:inline>
        </w:drawing>
      </w:r>
    </w:p>
    <w:p w14:paraId="70584688" w14:textId="77777777" w:rsidR="004647C6"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DAFTAR PUSTAKA</w:t>
      </w:r>
      <w:r>
        <w:rPr>
          <w:rFonts w:ascii="Times New Roman" w:eastAsia="Times New Roman" w:hAnsi="Times New Roman" w:cs="Times New Roman"/>
          <w:sz w:val="24"/>
          <w:szCs w:val="24"/>
        </w:rPr>
        <w:t xml:space="preserve"> </w:t>
      </w:r>
    </w:p>
    <w:p w14:paraId="0596B816" w14:textId="77777777" w:rsidR="004647C6" w:rsidRDefault="00000000">
      <w:pPr>
        <w:ind w:left="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​Badan Pusat Statistik Kota Padang Panjang. (2024). </w:t>
      </w:r>
      <w:r>
        <w:rPr>
          <w:rFonts w:ascii="Times New Roman" w:eastAsia="Times New Roman" w:hAnsi="Times New Roman" w:cs="Times New Roman"/>
          <w:i/>
          <w:iCs/>
          <w:sz w:val="24"/>
          <w:szCs w:val="24"/>
        </w:rPr>
        <w:t>Kota Padang Panjang Dalam</w:t>
      </w:r>
    </w:p>
    <w:p w14:paraId="0220CE08"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Angka 2024.</w:t>
      </w:r>
      <w:r>
        <w:rPr>
          <w:rFonts w:ascii="Times New Roman" w:eastAsia="Times New Roman" w:hAnsi="Times New Roman" w:cs="Times New Roman"/>
          <w:sz w:val="24"/>
          <w:szCs w:val="24"/>
        </w:rPr>
        <w:t xml:space="preserve"> BPS Kota Padang Panjang.</w:t>
      </w:r>
    </w:p>
    <w:p w14:paraId="3F8CB890"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​Belgiu, M., &amp; Drăguţ, L. (2016). Random forest in remote sensing: A review of</w:t>
      </w:r>
    </w:p>
    <w:p w14:paraId="149133E0" w14:textId="77777777" w:rsidR="004647C6" w:rsidRDefault="00000000">
      <w:pPr>
        <w:ind w:left="720"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applications and future directions. </w:t>
      </w:r>
      <w:r>
        <w:rPr>
          <w:rFonts w:ascii="Times New Roman" w:eastAsia="Times New Roman" w:hAnsi="Times New Roman" w:cs="Times New Roman"/>
          <w:i/>
          <w:iCs/>
          <w:sz w:val="24"/>
          <w:szCs w:val="24"/>
        </w:rPr>
        <w:t>ISPRS Journal of Photogrammetry and</w:t>
      </w:r>
    </w:p>
    <w:p w14:paraId="217FCE67"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Remote Sensing</w:t>
      </w:r>
      <w:r>
        <w:rPr>
          <w:rFonts w:ascii="Times New Roman" w:eastAsia="Times New Roman" w:hAnsi="Times New Roman" w:cs="Times New Roman"/>
          <w:sz w:val="24"/>
          <w:szCs w:val="24"/>
        </w:rPr>
        <w:t>, 114, 24–31. https://doi.org/10.1016/j.isprsjprs.2016.01.011</w:t>
      </w:r>
    </w:p>
    <w:p w14:paraId="3F1DF778"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​European Space Agency. (2021). </w:t>
      </w:r>
      <w:r>
        <w:rPr>
          <w:rFonts w:ascii="Times New Roman" w:eastAsia="Times New Roman" w:hAnsi="Times New Roman" w:cs="Times New Roman"/>
          <w:i/>
          <w:iCs/>
          <w:sz w:val="24"/>
          <w:szCs w:val="24"/>
        </w:rPr>
        <w:t>Sentinel-2 User Handbook</w:t>
      </w:r>
      <w:r>
        <w:rPr>
          <w:rFonts w:ascii="Times New Roman" w:eastAsia="Times New Roman" w:hAnsi="Times New Roman" w:cs="Times New Roman"/>
          <w:sz w:val="24"/>
          <w:szCs w:val="24"/>
        </w:rPr>
        <w:t xml:space="preserve"> (Standard Issue 1.5).</w:t>
      </w:r>
    </w:p>
    <w:p w14:paraId="7BAB9D51"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Publication.</w:t>
      </w:r>
    </w:p>
    <w:p w14:paraId="01BF2DC2"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​Gorelick, N., Hancher, M., Dixon, M., Ilyushchenko, S., Thau, D., &amp; Moore, R.</w:t>
      </w:r>
    </w:p>
    <w:p w14:paraId="1E4B0C5F"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(2017). Google Earth Engine: Planetary-scale geospatial analysis for everyone.</w:t>
      </w:r>
    </w:p>
    <w:p w14:paraId="40266863"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Remote Sensing of Environment</w:t>
      </w:r>
      <w:r>
        <w:rPr>
          <w:rFonts w:ascii="Times New Roman" w:eastAsia="Times New Roman" w:hAnsi="Times New Roman" w:cs="Times New Roman"/>
          <w:sz w:val="24"/>
          <w:szCs w:val="24"/>
        </w:rPr>
        <w:t>, 202, 18–27.</w:t>
      </w:r>
    </w:p>
    <w:p w14:paraId="1C7F8093"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https://doi.org/10.1016/j.rse.2017.05.010</w:t>
      </w:r>
    </w:p>
    <w:p w14:paraId="62743C60"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​Phiri, D., Simwanda, M., Salekin, S., Nyirenda, V. R., Murayama, Y., &amp; Ranagalage,</w:t>
      </w:r>
    </w:p>
    <w:p w14:paraId="203D18D3" w14:textId="77777777" w:rsidR="004647C6"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 (2020). Sentinel-2 data for land cover/use mapping: A review. </w:t>
      </w:r>
      <w:r>
        <w:rPr>
          <w:rFonts w:ascii="Times New Roman" w:eastAsia="Times New Roman" w:hAnsi="Times New Roman" w:cs="Times New Roman"/>
          <w:i/>
          <w:iCs/>
          <w:sz w:val="24"/>
          <w:szCs w:val="24"/>
        </w:rPr>
        <w:t>Remote</w:t>
      </w:r>
      <w:r>
        <w:rPr>
          <w:rFonts w:ascii="Times New Roman" w:eastAsia="Times New Roman" w:hAnsi="Times New Roman" w:cs="Times New Roman"/>
          <w:i/>
          <w:iCs/>
          <w:sz w:val="24"/>
          <w:szCs w:val="24"/>
        </w:rPr>
        <w:tab/>
        <w:t>Sensing</w:t>
      </w:r>
      <w:r>
        <w:rPr>
          <w:rFonts w:ascii="Times New Roman" w:eastAsia="Times New Roman" w:hAnsi="Times New Roman" w:cs="Times New Roman"/>
          <w:sz w:val="24"/>
          <w:szCs w:val="24"/>
        </w:rPr>
        <w:t>, 12(14), 2291. https://doi.org/10.3390/rs12142291</w:t>
      </w:r>
    </w:p>
    <w:p w14:paraId="62EE2A58"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​Prasetyo, A., &amp; Buchori, I. (2022). Spatio-temporal analysis of urban expansion and</w:t>
      </w:r>
    </w:p>
    <w:p w14:paraId="65DB6E0C" w14:textId="77777777" w:rsidR="004647C6" w:rsidRDefault="00000000">
      <w:pPr>
        <w:ind w:left="720"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its impact on green open space in medium-sized cities. </w:t>
      </w:r>
      <w:r>
        <w:rPr>
          <w:rFonts w:ascii="Times New Roman" w:eastAsia="Times New Roman" w:hAnsi="Times New Roman" w:cs="Times New Roman"/>
          <w:i/>
          <w:iCs/>
          <w:sz w:val="24"/>
          <w:szCs w:val="24"/>
        </w:rPr>
        <w:t>Jurnal Wilayah dan</w:t>
      </w:r>
    </w:p>
    <w:p w14:paraId="2E19BAC5"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Lingkungan</w:t>
      </w:r>
      <w:r>
        <w:rPr>
          <w:rFonts w:ascii="Times New Roman" w:eastAsia="Times New Roman" w:hAnsi="Times New Roman" w:cs="Times New Roman"/>
          <w:sz w:val="24"/>
          <w:szCs w:val="24"/>
        </w:rPr>
        <w:t>, 10(2), 145–159. https://doi.org/10.14710/jwl.10.2.145-159</w:t>
      </w:r>
    </w:p>
    <w:p w14:paraId="2C1EED70"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​Runtunuwu, E., Syahbuddin, H., &amp; Pramudia, A. (2021). Analisis karakteristik iklim</w:t>
      </w:r>
    </w:p>
    <w:p w14:paraId="39879B4F" w14:textId="77777777" w:rsidR="004647C6" w:rsidRDefault="00000000">
      <w:pPr>
        <w:ind w:left="720"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mikro dan pola curah hujan wilayah pegunungan Indonesia. </w:t>
      </w:r>
      <w:r>
        <w:rPr>
          <w:rFonts w:ascii="Times New Roman" w:eastAsia="Times New Roman" w:hAnsi="Times New Roman" w:cs="Times New Roman"/>
          <w:i/>
          <w:iCs/>
          <w:sz w:val="24"/>
          <w:szCs w:val="24"/>
        </w:rPr>
        <w:t>Jurnal</w:t>
      </w:r>
    </w:p>
    <w:p w14:paraId="225DF354"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Agroklimatologi Indonesia</w:t>
      </w:r>
      <w:r>
        <w:rPr>
          <w:rFonts w:ascii="Times New Roman" w:eastAsia="Times New Roman" w:hAnsi="Times New Roman" w:cs="Times New Roman"/>
          <w:sz w:val="24"/>
          <w:szCs w:val="24"/>
        </w:rPr>
        <w:t>, 15(1), 34–45.</w:t>
      </w:r>
    </w:p>
    <w:p w14:paraId="094C97E3" w14:textId="77777777" w:rsidR="004647C6"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​Sari, N. M., &amp; Prakoso, B. S. (2021). Efektivitas pengelolaan ruang terbuka hijau</w:t>
      </w:r>
    </w:p>
    <w:p w14:paraId="5A6BA60C" w14:textId="77777777" w:rsidR="004647C6" w:rsidRDefault="00000000">
      <w:pPr>
        <w:ind w:left="720"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(RTH) dalam menjaga fungsi ekologis perkotaan. </w:t>
      </w:r>
      <w:r>
        <w:rPr>
          <w:rFonts w:ascii="Times New Roman" w:eastAsia="Times New Roman" w:hAnsi="Times New Roman" w:cs="Times New Roman"/>
          <w:i/>
          <w:iCs/>
          <w:sz w:val="24"/>
          <w:szCs w:val="24"/>
        </w:rPr>
        <w:t>Jurnal Geografi</w:t>
      </w:r>
    </w:p>
    <w:p w14:paraId="6ECDF83E"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Kelestarian</w:t>
      </w:r>
      <w:r>
        <w:rPr>
          <w:rFonts w:ascii="Times New Roman" w:eastAsia="Times New Roman" w:hAnsi="Times New Roman" w:cs="Times New Roman"/>
          <w:sz w:val="24"/>
          <w:szCs w:val="24"/>
        </w:rPr>
        <w:t>, 9(2), 112–125.</w:t>
      </w:r>
    </w:p>
    <w:p w14:paraId="6EB95337" w14:textId="77777777" w:rsidR="004647C6" w:rsidRDefault="00000000">
      <w:pPr>
        <w:ind w:left="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​Wahyudi, A., &amp; Subiyanto, S. (2020). Analisis perubahan tutupan lahan di kawasan</w:t>
      </w:r>
      <w:r>
        <w:rPr>
          <w:rFonts w:ascii="Times New Roman" w:eastAsia="Times New Roman" w:hAnsi="Times New Roman" w:cs="Times New Roman"/>
          <w:sz w:val="24"/>
          <w:szCs w:val="24"/>
        </w:rPr>
        <w:tab/>
        <w:t xml:space="preserve">tangkapan air menggunakan citra satelit multi-temporal. </w:t>
      </w:r>
      <w:r>
        <w:rPr>
          <w:rFonts w:ascii="Times New Roman" w:eastAsia="Times New Roman" w:hAnsi="Times New Roman" w:cs="Times New Roman"/>
          <w:i/>
          <w:iCs/>
          <w:sz w:val="24"/>
          <w:szCs w:val="24"/>
        </w:rPr>
        <w:t>Jurnal Geodesi</w:t>
      </w:r>
    </w:p>
    <w:p w14:paraId="56BA4603" w14:textId="77777777" w:rsidR="004647C6"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Undip</w:t>
      </w:r>
      <w:r>
        <w:rPr>
          <w:rFonts w:ascii="Times New Roman" w:eastAsia="Times New Roman" w:hAnsi="Times New Roman" w:cs="Times New Roman"/>
          <w:sz w:val="24"/>
          <w:szCs w:val="24"/>
        </w:rPr>
        <w:t>, 9(4), 201–210.</w:t>
      </w:r>
    </w:p>
    <w:sectPr w:rsidR="004647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9CFB2F-05CD-408C-8316-31A9FE32110C}"/>
  </w:font>
  <w:font w:name="Cambria">
    <w:panose1 w:val="02040503050406030204"/>
    <w:charset w:val="00"/>
    <w:family w:val="roman"/>
    <w:pitch w:val="variable"/>
    <w:sig w:usb0="E00006FF" w:usb1="420024FF" w:usb2="02000000" w:usb3="00000000" w:csb0="0000019F" w:csb1="00000000"/>
    <w:embedRegular r:id="rId2" w:fontKey="{9A4518A3-DCD8-44A0-B8A8-ABC7439BE6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0AE"/>
    <w:multiLevelType w:val="multilevel"/>
    <w:tmpl w:val="91D4D7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EB792A"/>
    <w:multiLevelType w:val="multilevel"/>
    <w:tmpl w:val="098460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9549A5"/>
    <w:multiLevelType w:val="multilevel"/>
    <w:tmpl w:val="C68466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341095F"/>
    <w:multiLevelType w:val="multilevel"/>
    <w:tmpl w:val="473E65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D77050F"/>
    <w:multiLevelType w:val="multilevel"/>
    <w:tmpl w:val="82988A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81897519">
    <w:abstractNumId w:val="2"/>
  </w:num>
  <w:num w:numId="2" w16cid:durableId="2124881968">
    <w:abstractNumId w:val="4"/>
  </w:num>
  <w:num w:numId="3" w16cid:durableId="821971460">
    <w:abstractNumId w:val="1"/>
  </w:num>
  <w:num w:numId="4" w16cid:durableId="1062487442">
    <w:abstractNumId w:val="3"/>
  </w:num>
  <w:num w:numId="5" w16cid:durableId="1686709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C6"/>
    <w:rsid w:val="00391DB0"/>
    <w:rsid w:val="004647C6"/>
    <w:rsid w:val="009779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59208"/>
  <w15:docId w15:val="{14E8C131-7982-4DBB-AF03-D990B660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patial-padang-panjang.vercel.app/webgis/index.html" TargetMode="Externa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xFaa/SpatialPadangPanjang.gi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2034</Words>
  <Characters>11596</Characters>
  <Application>Microsoft Office Word</Application>
  <DocSecurity>0</DocSecurity>
  <Lines>96</Lines>
  <Paragraphs>27</Paragraphs>
  <ScaleCrop>false</ScaleCrop>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Teknisi-WS-078</cp:lastModifiedBy>
  <cp:revision>2</cp:revision>
  <dcterms:created xsi:type="dcterms:W3CDTF">2026-07-20T05:03:00Z</dcterms:created>
  <dcterms:modified xsi:type="dcterms:W3CDTF">2026-07-20T05:04:00Z</dcterms:modified>
</cp:coreProperties>
</file>