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2240280" cy="1393454"/>
            <wp:docPr id="1" name="Picture 1"/>
            <wp:cNvGraphicFramePr>
              <a:graphicFrameLocks noChangeAspect="1"/>
            </wp:cNvGraphicFramePr>
            <a:graphic>
              <a:graphicData uri="http://schemas.openxmlformats.org/drawingml/2006/picture">
                <pic:pic>
                  <pic:nvPicPr>
                    <pic:cNvPr id="0" name="uttt-logo-official.png"/>
                    <pic:cNvPicPr/>
                  </pic:nvPicPr>
                  <pic:blipFill>
                    <a:blip r:embed="rId9"/>
                    <a:stretch>
                      <a:fillRect/>
                    </a:stretch>
                  </pic:blipFill>
                  <pic:spPr>
                    <a:xfrm>
                      <a:off x="0" y="0"/>
                      <a:ext cx="2240280" cy="1393454"/>
                    </a:xfrm>
                    <a:prstGeom prst="rect"/>
                  </pic:spPr>
                </pic:pic>
              </a:graphicData>
            </a:graphic>
          </wp:inline>
        </w:drawing>
      </w:r>
    </w:p>
    <w:p>
      <w:pPr>
        <w:pStyle w:val="Title"/>
        <w:jc w:val="center"/>
      </w:pPr>
      <w:r>
        <w:t>Universidad Tecnológica de Tula-Tepeji</w:t>
      </w:r>
    </w:p>
    <w:p>
      <w:pPr>
        <w:pStyle w:val="Heading1"/>
        <w:jc w:val="center"/>
      </w:pPr>
      <w:r>
        <w:t>Tecnologías de la Información</w:t>
      </w:r>
    </w:p>
    <w:p>
      <w:pPr>
        <w:pStyle w:val="Heading2"/>
        <w:jc w:val="center"/>
      </w:pPr>
      <w:r>
        <w:t>Proyecto Integrador de Recursamiento 2026</w:t>
      </w:r>
    </w:p>
    <w:p>
      <w:pPr>
        <w:spacing w:after="180"/>
        <w:jc w:val="center"/>
      </w:pPr>
      <w:r>
        <w:rPr>
          <w:b/>
          <w:sz w:val="24"/>
        </w:rPr>
        <w:t>Proyecto:</w:t>
      </w:r>
      <w:r>
        <w:rPr>
          <w:sz w:val="24"/>
        </w:rPr>
        <w:t xml:space="preserve"> Análisis de hábitos y condición física asociados con niveles de obesidad</w:t>
      </w:r>
    </w:p>
    <w:p>
      <w:pPr>
        <w:spacing w:after="180"/>
        <w:jc w:val="center"/>
      </w:pPr>
      <w:r>
        <w:rPr>
          <w:b/>
          <w:sz w:val="24"/>
        </w:rPr>
        <w:t>Asignatura:</w:t>
      </w:r>
      <w:r>
        <w:rPr>
          <w:sz w:val="24"/>
        </w:rPr>
        <w:t xml:space="preserve"> Extracción de Conocimiento en Bases de Datos</w:t>
      </w:r>
    </w:p>
    <w:p>
      <w:pPr>
        <w:spacing w:after="180"/>
        <w:jc w:val="center"/>
      </w:pPr>
      <w:r>
        <w:rPr>
          <w:b/>
          <w:sz w:val="24"/>
        </w:rPr>
        <w:t>Estudiante:</w:t>
      </w:r>
      <w:r>
        <w:rPr>
          <w:sz w:val="24"/>
        </w:rPr>
        <w:t xml:space="preserve"> David Rafael Aguilar Solis</w:t>
      </w:r>
    </w:p>
    <w:p>
      <w:pPr>
        <w:spacing w:after="180"/>
        <w:jc w:val="center"/>
      </w:pPr>
      <w:r>
        <w:rPr>
          <w:b/>
          <w:sz w:val="24"/>
        </w:rPr>
        <w:t>Matrícula:</w:t>
      </w:r>
      <w:r>
        <w:rPr>
          <w:sz w:val="24"/>
        </w:rPr>
        <w:t xml:space="preserve"> 22300607</w:t>
      </w:r>
    </w:p>
    <w:p>
      <w:pPr>
        <w:spacing w:after="180"/>
        <w:jc w:val="center"/>
      </w:pPr>
      <w:r>
        <w:rPr>
          <w:b/>
          <w:sz w:val="24"/>
        </w:rPr>
        <w:t>Grupo:</w:t>
      </w:r>
      <w:r>
        <w:rPr>
          <w:sz w:val="24"/>
        </w:rPr>
        <w:t xml:space="preserve"> 10IDGS-G1</w:t>
      </w:r>
    </w:p>
    <w:p>
      <w:pPr>
        <w:spacing w:after="180"/>
        <w:jc w:val="center"/>
      </w:pPr>
      <w:r>
        <w:rPr>
          <w:b/>
          <w:sz w:val="24"/>
        </w:rPr>
        <w:t>Unidad:</w:t>
      </w:r>
      <w:r>
        <w:rPr>
          <w:sz w:val="24"/>
        </w:rPr>
        <w:t xml:space="preserve"> I — Planeación</w:t>
      </w:r>
    </w:p>
    <w:p>
      <w:pPr>
        <w:spacing w:after="180"/>
        <w:jc w:val="center"/>
      </w:pPr>
      <w:r>
        <w:rPr>
          <w:b/>
          <w:sz w:val="24"/>
        </w:rPr>
        <w:t>Docente:</w:t>
      </w:r>
      <w:r>
        <w:rPr>
          <w:sz w:val="24"/>
        </w:rPr>
        <w:t xml:space="preserve"> Pendiente de confirmación</w:t>
      </w:r>
    </w:p>
    <w:p>
      <w:pPr>
        <w:spacing w:after="180"/>
        <w:jc w:val="center"/>
      </w:pPr>
      <w:r>
        <w:rPr>
          <w:b/>
          <w:sz w:val="24"/>
        </w:rPr>
        <w:t>Fecha oficial de entrega:</w:t>
      </w:r>
      <w:r>
        <w:rPr>
          <w:sz w:val="24"/>
        </w:rPr>
        <w:t xml:space="preserve"> 2 de octubre de 2026</w:t>
      </w:r>
    </w:p>
    <w:p>
      <w:pPr>
        <w:spacing w:after="180"/>
        <w:jc w:val="center"/>
      </w:pPr>
      <w:r>
        <w:rPr>
          <w:b/>
          <w:sz w:val="24"/>
        </w:rPr>
        <w:t>Actualización del documento:</w:t>
      </w:r>
      <w:r>
        <w:rPr>
          <w:sz w:val="24"/>
        </w:rPr>
        <w:t xml:space="preserve"> 26 de octubre de 2026</w:t>
      </w:r>
    </w:p>
    <w:p>
      <w:r>
        <w:br w:type="page"/>
      </w:r>
    </w:p>
    <w:p>
      <w:pPr>
        <w:pStyle w:val="Heading1"/>
        <w:jc w:val="left"/>
      </w:pPr>
      <w:r>
        <w:t>Planeación del proyecto — Unidad I</w:t>
      </w:r>
    </w:p>
    <w:p>
      <w:r>
        <w:rPr>
          <w:b/>
        </w:rPr>
        <w:t>Proyecto:</w:t>
      </w:r>
      <w:r>
        <w:t xml:space="preserve"> Análisis de hábitos y condición física asociados con niveles de obesidad</w:t>
      </w:r>
    </w:p>
    <w:p>
      <w:r>
        <w:rPr>
          <w:b/>
        </w:rPr>
        <w:t>Asignatura:</w:t>
      </w:r>
      <w:r>
        <w:t xml:space="preserve"> Extracción de Conocimiento en Bases de Datos</w:t>
      </w:r>
    </w:p>
    <w:p>
      <w:r>
        <w:rPr>
          <w:b/>
        </w:rPr>
        <w:t>Estudiante:</w:t>
      </w:r>
      <w:r>
        <w:t xml:space="preserve"> David Rafael Aguilar Solis</w:t>
      </w:r>
    </w:p>
    <w:p>
      <w:r>
        <w:rPr>
          <w:b/>
        </w:rPr>
        <w:t>Unidad:</w:t>
      </w:r>
      <w:r>
        <w:t xml:space="preserve"> I — Planeación</w:t>
      </w:r>
    </w:p>
    <w:p>
      <w:r>
        <w:rPr>
          <w:b/>
        </w:rPr>
        <w:t>Versión de trabajo:</w:t>
      </w:r>
      <w:r>
        <w:t xml:space="preserve"> 26 de octubre de 2026</w:t>
      </w:r>
    </w:p>
    <w:p>
      <w:pPr>
        <w:pStyle w:val="Heading1"/>
      </w:pPr>
      <w:r>
        <w:t>Resumen</w:t>
      </w:r>
    </w:p>
    <w:p>
      <w:r>
        <w:t xml:space="preserve">Este proyecto académico propone estudiar patrones asociados con hábitos alimenticios, características personales, condición física y niveles de obesidad en el conjunto de UCI </w:t>
      </w:r>
      <w:r>
        <w:rPr>
          <w:i/>
        </w:rPr>
        <w:t>Estimation of Obesity Levels Based on Eating Habits and Physical Condition</w:t>
      </w:r>
      <w:r>
        <w:t>. A lo largo de cinco unidades se documentarán los datos, se prepararán para análisis, se evaluarán métodos supervisados y no supervisados y se comunicarán hallazgos mediante los productos solicitados por el curso. El análisis será descriptivo y predictivo; no permitirá concluir causalidad ni emitir diagnósticos clínicos. Esta planeación no presenta resultados experimentales.</w:t>
      </w:r>
    </w:p>
    <w:p>
      <w:pPr>
        <w:pStyle w:val="Heading1"/>
      </w:pPr>
      <w:r>
        <w:t>1. Contexto y planteamiento del problema</w:t>
      </w:r>
    </w:p>
    <w:p>
      <w:r>
        <w:t xml:space="preserve">El conjunto contiene atributos demográficos, antropométricos y de hábitos, junto con la etiqueta </w:t>
      </w:r>
      <w:r>
        <w:rPr>
          <w:rFonts w:ascii="Consolas" w:hAnsi="Consolas"/>
          <w:sz w:val="19"/>
        </w:rPr>
        <w:t>NObeyesdad</w:t>
      </w:r>
      <w:r>
        <w:t>. Su análisis requiere documentar procedencia y calidad, distinguir asociación de causalidad y controlar el riesgo de que variables corporales estrechamente relacionadas con la etiqueta hagan que una evaluación predictiva parezca más favorable de lo que es. Los autores informan que el conjunto combina datos recolectados directamente y registros sintéticos generados para balancear clases; por ello sus patrones no deben generalizarse automáticamente a poblaciones completas (Mendoza-Palechor &amp; de la Hoz-Manotas, 2019).</w:t>
      </w:r>
    </w:p>
    <w:p>
      <w:r>
        <w:rPr>
          <w:b/>
        </w:rPr>
        <w:t>Problema:</w:t>
      </w:r>
      <w:r>
        <w:t xml:space="preserve"> establecer un proceso reproducible para describir y modelar relaciones presentes en estos datos, explicando sus límites de procedencia, representatividad e interpretación.</w:t>
      </w:r>
    </w:p>
    <w:p>
      <w:r>
        <w:rPr>
          <w:b/>
        </w:rPr>
        <w:t>Pregunta principal:</w:t>
      </w:r>
      <w:r>
        <w:t xml:space="preserve"> ¿Qué asociaciones descriptivas se observan entre los hábitos alimenticios, las características personales, la condición física y las categorías </w:t>
      </w:r>
      <w:r>
        <w:rPr>
          <w:rFonts w:ascii="Consolas" w:hAnsi="Consolas"/>
          <w:sz w:val="19"/>
        </w:rPr>
        <w:t>NObeyesdad</w:t>
      </w:r>
      <w:r>
        <w:t>, y qué límites deben considerarse al evaluar modelos y comunicar esos patrones?</w:t>
      </w:r>
    </w:p>
    <w:p>
      <w:pPr>
        <w:pStyle w:val="Heading1"/>
        <w:pageBreakBefore/>
      </w:pPr>
      <w:r>
        <w:t>2. Objetivos</w:t>
      </w:r>
    </w:p>
    <w:p>
      <w:r>
        <w:rPr>
          <w:b/>
        </w:rPr>
        <w:t>Objetivo general.</w:t>
      </w:r>
      <w:r>
        <w:t xml:space="preserve"> Analizar de forma reproducible los patrones asociados con hábitos alimenticios, características personales y condición física en el conjunto UCI mediante preparación de datos, evaluación de modelos supervisados y exploración no supervisada, para comunicar resultados y limitaciones con CRISP-DM sin atribuir causalidad.</w:t>
      </w:r>
    </w:p>
    <w:p>
      <w:pPr>
        <w:keepNext/>
      </w:pPr>
      <w:r>
        <w:rPr>
          <w:b/>
        </w:rPr>
        <w:t>Objetivos específicos.</w:t>
      </w:r>
    </w:p>
    <w:p>
      <w:pPr>
        <w:pStyle w:val="ListNumber"/>
        <w:keepNext/>
      </w:pPr>
      <w:r>
        <w:t>Documentar procedencia, estructura, variables, calidad y limitaciones de la fuente con un inventario verificable.</w:t>
      </w:r>
    </w:p>
    <w:p>
      <w:pPr>
        <w:pStyle w:val="ListNumber"/>
        <w:keepNext/>
      </w:pPr>
      <w:r>
        <w:t>Preparar un conjunto derivado y un flujo ETL reproducible, preservando el original y documentando su carga al Data Mart de SQL Server cuando corresponda.</w:t>
      </w:r>
    </w:p>
    <w:p>
      <w:pPr>
        <w:pStyle w:val="ListNumber"/>
        <w:keepNext/>
      </w:pPr>
      <w:r>
        <w:t>Implementar y evaluar en Unidad III al menos una tarea de regresión y una de clasificación con partición y preprocesamiento adecuados, métricas pertinentes y controles de fuga de información.</w:t>
      </w:r>
    </w:p>
    <w:p>
      <w:pPr>
        <w:pStyle w:val="ListNumber"/>
        <w:keepNext/>
      </w:pPr>
      <w:r>
        <w:t>Aplicar y evaluar en Unidad IV clustering y PCA, documentando criterios de selección e interpretación de perfiles.</w:t>
      </w:r>
    </w:p>
    <w:p>
      <w:pPr>
        <w:pStyle w:val="ListNumber"/>
        <w:keepNext w:val="0"/>
      </w:pPr>
      <w:r>
        <w:t>Comunicar en Unidad V los hallazgos sustentados, sus límites y su contexto mediante el dashboard Power BI, documentación final y materiales para la defensa.</w:t>
      </w:r>
    </w:p>
    <w:p>
      <w:pPr>
        <w:pStyle w:val="Heading1"/>
      </w:pPr>
      <w:r>
        <w:t>3. Alcance y limitaciones</w:t>
      </w:r>
    </w:p>
    <w:p>
      <w:r>
        <w:t>La Unidad I define problema, objetivos, decisiones metodológicas y productos esperados. La exploración y preparación corresponden a Unidad II; los modelos supervisados a Unidad III; clustering y PCA a Unidad IV; y dashboard, narrativa y defensa a Unidad V. Las actividades futuras aquí descritas son planes, no trabajo concluido.</w:t>
      </w:r>
    </w:p>
    <w:p>
      <w:r>
        <w:t xml:space="preserve">El CSV local tiene 2,111 registros y 17 columnas según las comprobaciones reproducibles del proyecto; el artículo describe población de Colombia, Perú y México y reporta una proporción de registros sintéticos. El archivo no acredita muestreo probabilístico ni representatividad poblacional. La presencia local de duplicados exactos debe considerarse al decidir particiones y validación; su tratamiento se justificará en la preparación, no se presupone aquí. Las asociaciones no son efectos causales y </w:t>
      </w:r>
      <w:r>
        <w:rPr>
          <w:rFonts w:ascii="Consolas" w:hAnsi="Consolas"/>
          <w:sz w:val="19"/>
        </w:rPr>
        <w:t>NObeyesdad</w:t>
      </w:r>
      <w:r>
        <w:t xml:space="preserve"> no equivale a diagnóstico clínico individual.</w:t>
      </w:r>
    </w:p>
    <w:p>
      <w:pPr>
        <w:pStyle w:val="Heading1"/>
        <w:pageBreakBefore/>
      </w:pPr>
      <w:r>
        <w:t>4. Dataset y variables</w:t>
      </w:r>
    </w:p>
    <w:p>
      <w:r>
        <w:t xml:space="preserve">Fuente: UCI Machine Learning Repository, dataset 544, </w:t>
      </w:r>
      <w:r>
        <w:rPr>
          <w:i/>
        </w:rPr>
        <w:t>Estimation of Obesity Levels Based on Eating Habits and Physical Condition</w:t>
      </w:r>
      <w:r>
        <w:t xml:space="preserve"> (UCI Machine Learning Repository, 2019). La publicación asociada describe participantes de México, Perú y Colombia y la composición sintética del conjunto (Mendoza-Palechor &amp; de la Hoz-Manotas, 2019). Los conteos locales que se comprobarán son 2,111 filas de datos, 17 columnas, 16 atributos y la etiqueta </w:t>
      </w:r>
      <w:r>
        <w:rPr>
          <w:rFonts w:ascii="Consolas" w:hAnsi="Consolas"/>
          <w:sz w:val="19"/>
        </w:rPr>
        <w:t>NObeyesdad</w:t>
      </w:r>
      <w:r>
        <w:t>.</w:t>
      </w:r>
    </w:p>
    <w:tbl>
      <w:tblPr>
        <w:tblStyle w:val="TableGrid"/>
        <w:tblW w:type="auto" w:w="0"/>
        <w:jc w:val="center"/>
        <w:tblLayout w:type="autofit"/>
        <w:tblLook w:firstColumn="1" w:firstRow="1" w:lastColumn="0" w:lastRow="0" w:noHBand="0" w:noVBand="1" w:val="04A0"/>
      </w:tblPr>
      <w:tblGrid>
        <w:gridCol w:w="3331"/>
        <w:gridCol w:w="3331"/>
        <w:gridCol w:w="3331"/>
      </w:tblGrid>
      <w:tr>
        <w:trPr>
          <w:cantSplit/>
          <w:tblHeader w:val="true"/>
        </w:trPr>
        <w:tc>
          <w:tcPr>
            <w:tcW w:type="dxa" w:w="3331"/>
            <w:vAlign w:val="center"/>
            <w:shd w:fill="DCEFEA"/>
          </w:tcPr>
          <w:p>
            <w:pPr>
              <w:spacing w:after="40" w:before="40" w:line="240" w:lineRule="auto"/>
            </w:pPr>
            <w:r>
              <w:rPr>
                <w:rFonts w:ascii="Arial" w:hAnsi="Arial"/>
                <w:b/>
                <w:sz w:val="19"/>
              </w:rPr>
              <w:t>Grupo</w:t>
            </w:r>
          </w:p>
        </w:tc>
        <w:tc>
          <w:tcPr>
            <w:tcW w:type="dxa" w:w="3331"/>
            <w:vAlign w:val="center"/>
            <w:shd w:fill="DCEFEA"/>
          </w:tcPr>
          <w:p>
            <w:pPr>
              <w:spacing w:after="40" w:before="40" w:line="240" w:lineRule="auto"/>
            </w:pPr>
            <w:r>
              <w:rPr>
                <w:rFonts w:ascii="Arial" w:hAnsi="Arial"/>
                <w:b/>
                <w:sz w:val="19"/>
              </w:rPr>
              <w:t>Variables</w:t>
            </w:r>
          </w:p>
        </w:tc>
        <w:tc>
          <w:tcPr>
            <w:tcW w:type="dxa" w:w="3331"/>
            <w:vAlign w:val="center"/>
            <w:shd w:fill="DCEFEA"/>
          </w:tcPr>
          <w:p>
            <w:pPr>
              <w:spacing w:after="40" w:before="40" w:line="240" w:lineRule="auto"/>
            </w:pPr>
            <w:r>
              <w:rPr>
                <w:rFonts w:ascii="Arial" w:hAnsi="Arial"/>
                <w:b/>
                <w:sz w:val="19"/>
              </w:rPr>
              <w:t>Consideración</w:t>
            </w:r>
          </w:p>
        </w:tc>
      </w:tr>
      <w:tr>
        <w:trPr>
          <w:cantSplit/>
        </w:trPr>
        <w:tc>
          <w:tcPr>
            <w:tcW w:type="dxa" w:w="3331"/>
            <w:vAlign w:val="center"/>
          </w:tcPr>
          <w:p>
            <w:pPr>
              <w:spacing w:after="40" w:before="40" w:line="240" w:lineRule="auto"/>
            </w:pPr>
            <w:r>
              <w:rPr>
                <w:rFonts w:ascii="Arial" w:hAnsi="Arial"/>
                <w:b w:val="0"/>
                <w:sz w:val="19"/>
              </w:rPr>
              <w:t>Características y medidas</w:t>
            </w:r>
          </w:p>
        </w:tc>
        <w:tc>
          <w:tcPr>
            <w:tcW w:type="dxa" w:w="3331"/>
            <w:vAlign w:val="center"/>
          </w:tcPr>
          <w:p>
            <w:pPr>
              <w:spacing w:after="40" w:before="40" w:line="240" w:lineRule="auto"/>
            </w:pPr>
            <w:r>
              <w:rPr>
                <w:rFonts w:ascii="Arial" w:hAnsi="Arial"/>
                <w:b w:val="0"/>
                <w:sz w:val="19"/>
              </w:rPr>
              <w:t>Gender, Age, Height, Weight</w:t>
            </w:r>
          </w:p>
        </w:tc>
        <w:tc>
          <w:tcPr>
            <w:tcW w:type="dxa" w:w="3331"/>
            <w:vAlign w:val="center"/>
          </w:tcPr>
          <w:p>
            <w:pPr>
              <w:spacing w:after="40" w:before="40" w:line="240" w:lineRule="auto"/>
            </w:pPr>
            <w:r>
              <w:rPr>
                <w:rFonts w:ascii="Arial" w:hAnsi="Arial"/>
                <w:b w:val="0"/>
                <w:sz w:val="19"/>
              </w:rPr>
              <w:t>Verificar unidades y codificaciones en la ficha fuente.</w:t>
            </w:r>
          </w:p>
        </w:tc>
      </w:tr>
      <w:tr>
        <w:trPr>
          <w:cantSplit/>
        </w:trPr>
        <w:tc>
          <w:tcPr>
            <w:tcW w:type="dxa" w:w="3331"/>
            <w:vAlign w:val="center"/>
          </w:tcPr>
          <w:p>
            <w:pPr>
              <w:spacing w:after="40" w:before="40" w:line="240" w:lineRule="auto"/>
            </w:pPr>
            <w:r>
              <w:rPr>
                <w:rFonts w:ascii="Arial" w:hAnsi="Arial"/>
                <w:b w:val="0"/>
                <w:sz w:val="19"/>
              </w:rPr>
              <w:t>Antecedentes y alimentación</w:t>
            </w:r>
          </w:p>
        </w:tc>
        <w:tc>
          <w:tcPr>
            <w:tcW w:type="dxa" w:w="3331"/>
            <w:vAlign w:val="center"/>
          </w:tcPr>
          <w:p>
            <w:pPr>
              <w:spacing w:after="40" w:before="40" w:line="240" w:lineRule="auto"/>
            </w:pPr>
            <w:r>
              <w:rPr>
                <w:rFonts w:ascii="Arial" w:hAnsi="Arial"/>
                <w:b w:val="0"/>
                <w:sz w:val="19"/>
              </w:rPr>
              <w:t>family_history_with_overweight, FAVC, FCVC, NCP, CAEC, CALC</w:t>
            </w:r>
          </w:p>
        </w:tc>
        <w:tc>
          <w:tcPr>
            <w:tcW w:type="dxa" w:w="3331"/>
            <w:vAlign w:val="center"/>
          </w:tcPr>
          <w:p>
            <w:pPr>
              <w:spacing w:after="40" w:before="40" w:line="240" w:lineRule="auto"/>
            </w:pPr>
            <w:r>
              <w:rPr>
                <w:rFonts w:ascii="Arial" w:hAnsi="Arial"/>
                <w:b w:val="0"/>
                <w:sz w:val="19"/>
              </w:rPr>
              <w:t>Interpretar abreviaturas conforme a la descripción UCI.</w:t>
            </w:r>
          </w:p>
        </w:tc>
      </w:tr>
      <w:tr>
        <w:trPr>
          <w:cantSplit/>
        </w:trPr>
        <w:tc>
          <w:tcPr>
            <w:tcW w:type="dxa" w:w="3331"/>
            <w:vAlign w:val="center"/>
          </w:tcPr>
          <w:p>
            <w:pPr>
              <w:spacing w:after="40" w:before="40" w:line="240" w:lineRule="auto"/>
            </w:pPr>
            <w:r>
              <w:rPr>
                <w:rFonts w:ascii="Arial" w:hAnsi="Arial"/>
                <w:b w:val="0"/>
                <w:sz w:val="19"/>
              </w:rPr>
              <w:t>Hidratación, actividad y tecnología</w:t>
            </w:r>
          </w:p>
        </w:tc>
        <w:tc>
          <w:tcPr>
            <w:tcW w:type="dxa" w:w="3331"/>
            <w:vAlign w:val="center"/>
          </w:tcPr>
          <w:p>
            <w:pPr>
              <w:spacing w:after="40" w:before="40" w:line="240" w:lineRule="auto"/>
            </w:pPr>
            <w:r>
              <w:rPr>
                <w:rFonts w:ascii="Arial" w:hAnsi="Arial"/>
                <w:b w:val="0"/>
                <w:sz w:val="19"/>
              </w:rPr>
              <w:t>CH2O, FAF, TUE, SMOKE, SCC</w:t>
            </w:r>
          </w:p>
        </w:tc>
        <w:tc>
          <w:tcPr>
            <w:tcW w:type="dxa" w:w="3331"/>
            <w:vAlign w:val="center"/>
          </w:tcPr>
          <w:p>
            <w:pPr>
              <w:spacing w:after="40" w:before="40" w:line="240" w:lineRule="auto"/>
            </w:pPr>
            <w:r>
              <w:rPr>
                <w:rFonts w:ascii="Arial" w:hAnsi="Arial"/>
                <w:b w:val="0"/>
                <w:sz w:val="19"/>
              </w:rPr>
              <w:t>No asumir unidades físicas para valores codificados.</w:t>
            </w:r>
          </w:p>
        </w:tc>
      </w:tr>
      <w:tr>
        <w:trPr>
          <w:cantSplit/>
        </w:trPr>
        <w:tc>
          <w:tcPr>
            <w:tcW w:type="dxa" w:w="3331"/>
            <w:vAlign w:val="center"/>
          </w:tcPr>
          <w:p>
            <w:pPr>
              <w:spacing w:after="40" w:before="40" w:line="240" w:lineRule="auto"/>
            </w:pPr>
            <w:r>
              <w:rPr>
                <w:rFonts w:ascii="Arial" w:hAnsi="Arial"/>
                <w:b w:val="0"/>
                <w:sz w:val="19"/>
              </w:rPr>
              <w:t>Transporte</w:t>
            </w:r>
          </w:p>
        </w:tc>
        <w:tc>
          <w:tcPr>
            <w:tcW w:type="dxa" w:w="3331"/>
            <w:vAlign w:val="center"/>
          </w:tcPr>
          <w:p>
            <w:pPr>
              <w:spacing w:after="40" w:before="40" w:line="240" w:lineRule="auto"/>
            </w:pPr>
            <w:r>
              <w:rPr>
                <w:rFonts w:ascii="Arial" w:hAnsi="Arial"/>
                <w:b w:val="0"/>
                <w:sz w:val="19"/>
              </w:rPr>
              <w:t>MTRANS</w:t>
            </w:r>
          </w:p>
        </w:tc>
        <w:tc>
          <w:tcPr>
            <w:tcW w:type="dxa" w:w="3331"/>
            <w:vAlign w:val="center"/>
          </w:tcPr>
          <w:p>
            <w:pPr>
              <w:spacing w:after="40" w:before="40" w:line="240" w:lineRule="auto"/>
            </w:pPr>
            <w:r>
              <w:rPr>
                <w:rFonts w:ascii="Arial" w:hAnsi="Arial"/>
                <w:b w:val="0"/>
                <w:sz w:val="19"/>
              </w:rPr>
              <w:t>Categoría de medio de transporte habitual.</w:t>
            </w:r>
          </w:p>
        </w:tc>
      </w:tr>
      <w:tr>
        <w:trPr>
          <w:cantSplit/>
        </w:trPr>
        <w:tc>
          <w:tcPr>
            <w:tcW w:type="dxa" w:w="3331"/>
            <w:vAlign w:val="center"/>
          </w:tcPr>
          <w:p>
            <w:pPr>
              <w:spacing w:after="40" w:before="40" w:line="240" w:lineRule="auto"/>
            </w:pPr>
            <w:r>
              <w:rPr>
                <w:rFonts w:ascii="Arial" w:hAnsi="Arial"/>
                <w:b w:val="0"/>
                <w:sz w:val="19"/>
              </w:rPr>
              <w:t>Etiqueta</w:t>
            </w:r>
          </w:p>
        </w:tc>
        <w:tc>
          <w:tcPr>
            <w:tcW w:type="dxa" w:w="3331"/>
            <w:vAlign w:val="center"/>
          </w:tcPr>
          <w:p>
            <w:pPr>
              <w:spacing w:after="40" w:before="40" w:line="240" w:lineRule="auto"/>
            </w:pPr>
            <w:r>
              <w:rPr>
                <w:rFonts w:ascii="Arial" w:hAnsi="Arial"/>
                <w:b w:val="0"/>
                <w:sz w:val="19"/>
              </w:rPr>
              <w:t>NObeyesdad</w:t>
            </w:r>
          </w:p>
        </w:tc>
        <w:tc>
          <w:tcPr>
            <w:tcW w:type="dxa" w:w="3331"/>
            <w:vAlign w:val="center"/>
          </w:tcPr>
          <w:p>
            <w:pPr>
              <w:spacing w:after="40" w:before="40" w:line="240" w:lineRule="auto"/>
            </w:pPr>
            <w:r>
              <w:rPr>
                <w:rFonts w:ascii="Arial" w:hAnsi="Arial"/>
                <w:b w:val="0"/>
                <w:sz w:val="19"/>
              </w:rPr>
              <w:t>Categoría registrada, no diagnóstico clínico.</w:t>
            </w:r>
          </w:p>
        </w:tc>
      </w:tr>
    </w:tbl>
    <w:p>
      <w:pPr>
        <w:spacing w:after="20"/>
      </w:pPr>
    </w:p>
    <w:p>
      <w:pPr>
        <w:pStyle w:val="Heading1"/>
        <w:pageBreakBefore w:val="0"/>
      </w:pPr>
      <w:r>
        <w:t>5. Comparación conceptual</w:t>
      </w:r>
    </w:p>
    <w:p>
      <w:r>
        <w:t>Los cuatro conceptos se relacionan, pero no son equivalentes. IA es el campo amplio; ML agrupa métodos que aprenden de datos; Data Mining organiza la búsqueda y validación de patrones; Big Data describe propiedades y necesidades de infraestructura. Las herramientas de la tabla son ejemplos representativos, no todas se adoptarán en este proyecto (Russell &amp; Norvig, 2021; Mitchell, 1997; Han et al., 2022; Chang et al., 2018).</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cantSplit/>
          <w:tblHeader w:val="true"/>
        </w:trPr>
        <w:tc>
          <w:tcPr>
            <w:tcW w:type="dxa" w:w="2498"/>
            <w:vAlign w:val="center"/>
            <w:shd w:fill="DCEFEA"/>
          </w:tcPr>
          <w:p>
            <w:pPr>
              <w:spacing w:after="40" w:before="40" w:line="240" w:lineRule="auto"/>
            </w:pPr>
            <w:r>
              <w:rPr>
                <w:rFonts w:ascii="Arial" w:hAnsi="Arial"/>
                <w:b/>
                <w:sz w:val="19"/>
              </w:rPr>
              <w:t>Concepto y características</w:t>
            </w:r>
          </w:p>
        </w:tc>
        <w:tc>
          <w:tcPr>
            <w:tcW w:type="dxa" w:w="2498"/>
            <w:vAlign w:val="center"/>
            <w:shd w:fill="DCEFEA"/>
          </w:tcPr>
          <w:p>
            <w:pPr>
              <w:spacing w:after="40" w:before="40" w:line="240" w:lineRule="auto"/>
            </w:pPr>
            <w:r>
              <w:rPr>
                <w:rFonts w:ascii="Arial" w:hAnsi="Arial"/>
                <w:b/>
                <w:sz w:val="19"/>
              </w:rPr>
              <w:t>Beneficios y casos de uso</w:t>
            </w:r>
          </w:p>
        </w:tc>
        <w:tc>
          <w:tcPr>
            <w:tcW w:type="dxa" w:w="2498"/>
            <w:vAlign w:val="center"/>
            <w:shd w:fill="DCEFEA"/>
          </w:tcPr>
          <w:p>
            <w:pPr>
              <w:spacing w:after="40" w:before="40" w:line="240" w:lineRule="auto"/>
            </w:pPr>
            <w:r>
              <w:rPr>
                <w:rFonts w:ascii="Arial" w:hAnsi="Arial"/>
                <w:b/>
                <w:sz w:val="19"/>
              </w:rPr>
              <w:t>Restricciones y retos</w:t>
            </w:r>
          </w:p>
        </w:tc>
        <w:tc>
          <w:tcPr>
            <w:tcW w:type="dxa" w:w="2498"/>
            <w:vAlign w:val="center"/>
            <w:shd w:fill="DCEFEA"/>
          </w:tcPr>
          <w:p>
            <w:pPr>
              <w:spacing w:after="40" w:before="40" w:line="240" w:lineRule="auto"/>
            </w:pPr>
            <w:r>
              <w:rPr>
                <w:rFonts w:ascii="Arial" w:hAnsi="Arial"/>
                <w:b/>
                <w:sz w:val="19"/>
              </w:rPr>
              <w:t>Herramientas típicas</w:t>
            </w:r>
          </w:p>
        </w:tc>
      </w:tr>
      <w:tr>
        <w:trPr>
          <w:cantSplit/>
        </w:trPr>
        <w:tc>
          <w:tcPr>
            <w:tcW w:type="dxa" w:w="2498"/>
            <w:vAlign w:val="center"/>
          </w:tcPr>
          <w:p>
            <w:pPr>
              <w:spacing w:after="40" w:before="40" w:line="240" w:lineRule="auto"/>
            </w:pPr>
            <w:r>
              <w:rPr>
                <w:rFonts w:ascii="Arial" w:hAnsi="Arial"/>
                <w:b w:val="0"/>
                <w:sz w:val="19"/>
              </w:rPr>
              <w:t>Inteligencia Artificial (IA): campo que diseña sistemas para tareas como percepción, razonamiento, búsqueda y decisión; puede usar reglas, conocimiento o aprendizaje.</w:t>
            </w:r>
          </w:p>
        </w:tc>
        <w:tc>
          <w:tcPr>
            <w:tcW w:type="dxa" w:w="2498"/>
            <w:vAlign w:val="center"/>
          </w:tcPr>
          <w:p>
            <w:pPr>
              <w:spacing w:after="40" w:before="40" w:line="240" w:lineRule="auto"/>
            </w:pPr>
            <w:r>
              <w:rPr>
                <w:rFonts w:ascii="Arial" w:hAnsi="Arial"/>
                <w:b w:val="0"/>
                <w:sz w:val="19"/>
              </w:rPr>
              <w:t>Automatizar tareas y apoyar decisiones complejas; asistentes, reconocimiento de imágenes y sistemas de recomendación.</w:t>
            </w:r>
          </w:p>
        </w:tc>
        <w:tc>
          <w:tcPr>
            <w:tcW w:type="dxa" w:w="2498"/>
            <w:vAlign w:val="center"/>
          </w:tcPr>
          <w:p>
            <w:pPr>
              <w:spacing w:after="40" w:before="40" w:line="240" w:lineRule="auto"/>
            </w:pPr>
            <w:r>
              <w:rPr>
                <w:rFonts w:ascii="Arial" w:hAnsi="Arial"/>
                <w:b w:val="0"/>
                <w:sz w:val="19"/>
              </w:rPr>
              <w:t>El desempeño depende del problema y los datos; riesgos de sesgo, opacidad, privacidad y seguridad. Reto: establecer objetivos, supervisión y evaluación responsables.</w:t>
            </w:r>
          </w:p>
        </w:tc>
        <w:tc>
          <w:tcPr>
            <w:tcW w:type="dxa" w:w="2498"/>
            <w:vAlign w:val="center"/>
          </w:tcPr>
          <w:p>
            <w:pPr>
              <w:spacing w:after="40" w:before="40" w:line="240" w:lineRule="auto"/>
            </w:pPr>
            <w:r>
              <w:rPr>
                <w:rFonts w:ascii="Arial" w:hAnsi="Arial"/>
                <w:b w:val="0"/>
                <w:sz w:val="19"/>
              </w:rPr>
              <w:t>Python, bibliotecas de IA/ML, motores de reglas y plataformas de cómputo.</w:t>
            </w:r>
          </w:p>
        </w:tc>
      </w:tr>
      <w:tr>
        <w:trPr>
          <w:cantSplit/>
        </w:trPr>
        <w:tc>
          <w:tcPr>
            <w:tcW w:type="dxa" w:w="2498"/>
            <w:vAlign w:val="center"/>
          </w:tcPr>
          <w:p>
            <w:pPr>
              <w:spacing w:after="40" w:before="40" w:line="240" w:lineRule="auto"/>
            </w:pPr>
            <w:r>
              <w:rPr>
                <w:rFonts w:ascii="Arial" w:hAnsi="Arial"/>
                <w:b w:val="0"/>
                <w:sz w:val="19"/>
              </w:rPr>
              <w:t>Machine Learning (ML): métodos que ajustan modelos a ejemplos; incluye aprendizaje supervisado, no supervisado y por refuerzo.</w:t>
            </w:r>
          </w:p>
        </w:tc>
        <w:tc>
          <w:tcPr>
            <w:tcW w:type="dxa" w:w="2498"/>
            <w:vAlign w:val="center"/>
          </w:tcPr>
          <w:p>
            <w:pPr>
              <w:spacing w:after="40" w:before="40" w:line="240" w:lineRule="auto"/>
            </w:pPr>
            <w:r>
              <w:rPr>
                <w:rFonts w:ascii="Arial" w:hAnsi="Arial"/>
                <w:b w:val="0"/>
                <w:sz w:val="19"/>
              </w:rPr>
              <w:t>Generalizar patrones para predicción o agrupamiento; clasificación, regresión, detección de anomalías y segmentación.</w:t>
            </w:r>
          </w:p>
        </w:tc>
        <w:tc>
          <w:tcPr>
            <w:tcW w:type="dxa" w:w="2498"/>
            <w:vAlign w:val="center"/>
          </w:tcPr>
          <w:p>
            <w:pPr>
              <w:spacing w:after="40" w:before="40" w:line="240" w:lineRule="auto"/>
            </w:pPr>
            <w:r>
              <w:rPr>
                <w:rFonts w:ascii="Arial" w:hAnsi="Arial"/>
                <w:b w:val="0"/>
                <w:sz w:val="19"/>
              </w:rPr>
              <w:t>Sobreajuste, sesgo, deriva y dependencia de los datos; reto de diseñar partición, validación, métricas y controles de fuga.</w:t>
            </w:r>
          </w:p>
        </w:tc>
        <w:tc>
          <w:tcPr>
            <w:tcW w:type="dxa" w:w="2498"/>
            <w:vAlign w:val="center"/>
          </w:tcPr>
          <w:p>
            <w:pPr>
              <w:spacing w:after="40" w:before="40" w:line="240" w:lineRule="auto"/>
            </w:pPr>
            <w:r>
              <w:rPr>
                <w:rFonts w:ascii="Arial" w:hAnsi="Arial"/>
                <w:b w:val="0"/>
                <w:sz w:val="19"/>
              </w:rPr>
              <w:t>scikit-learn, TensorFlow, PyTorch, Python y Jupyter.</w:t>
            </w:r>
          </w:p>
        </w:tc>
      </w:tr>
      <w:tr>
        <w:trPr>
          <w:cantSplit/>
        </w:trPr>
        <w:tc>
          <w:tcPr>
            <w:tcW w:type="dxa" w:w="2498"/>
            <w:vAlign w:val="center"/>
          </w:tcPr>
          <w:p>
            <w:pPr>
              <w:spacing w:after="40" w:before="40" w:line="240" w:lineRule="auto"/>
            </w:pPr>
            <w:r>
              <w:rPr>
                <w:rFonts w:ascii="Arial" w:hAnsi="Arial"/>
                <w:b w:val="0"/>
                <w:sz w:val="19"/>
              </w:rPr>
              <w:t>Data Mining: proceso iterativo de seleccionar, preparar, explorar y evaluar datos para extraer patrones útiles, combinando estadística, bases de datos, ML y visualización.</w:t>
            </w:r>
          </w:p>
        </w:tc>
        <w:tc>
          <w:tcPr>
            <w:tcW w:type="dxa" w:w="2498"/>
            <w:vAlign w:val="center"/>
          </w:tcPr>
          <w:p>
            <w:pPr>
              <w:spacing w:after="40" w:before="40" w:line="240" w:lineRule="auto"/>
            </w:pPr>
            <w:r>
              <w:rPr>
                <w:rFonts w:ascii="Arial" w:hAnsi="Arial"/>
                <w:b w:val="0"/>
                <w:sz w:val="19"/>
              </w:rPr>
              <w:t>Convierte datos disponibles en conocimiento evaluable; segmentación, asociaciones, tendencias y anomalías.</w:t>
            </w:r>
          </w:p>
        </w:tc>
        <w:tc>
          <w:tcPr>
            <w:tcW w:type="dxa" w:w="2498"/>
            <w:vAlign w:val="center"/>
          </w:tcPr>
          <w:p>
            <w:pPr>
              <w:spacing w:after="40" w:before="40" w:line="240" w:lineRule="auto"/>
            </w:pPr>
            <w:r>
              <w:rPr>
                <w:rFonts w:ascii="Arial" w:hAnsi="Arial"/>
                <w:b w:val="0"/>
                <w:sz w:val="19"/>
              </w:rPr>
              <w:t>Calidad insuficiente, patrones espurios, privacidad y dificultad de interpretación; reto de integrar contexto del dominio y validar hallazgos.</w:t>
            </w:r>
          </w:p>
        </w:tc>
        <w:tc>
          <w:tcPr>
            <w:tcW w:type="dxa" w:w="2498"/>
            <w:vAlign w:val="center"/>
          </w:tcPr>
          <w:p>
            <w:pPr>
              <w:spacing w:after="40" w:before="40" w:line="240" w:lineRule="auto"/>
            </w:pPr>
            <w:r>
              <w:rPr>
                <w:rFonts w:ascii="Arial" w:hAnsi="Arial"/>
                <w:b w:val="0"/>
                <w:sz w:val="19"/>
              </w:rPr>
              <w:t>Python, Pandas, NumPy, scikit-learn, SQL Server y herramientas de visualización.</w:t>
            </w:r>
          </w:p>
        </w:tc>
      </w:tr>
      <w:tr>
        <w:trPr>
          <w:cantSplit/>
        </w:trPr>
        <w:tc>
          <w:tcPr>
            <w:tcW w:type="dxa" w:w="2498"/>
            <w:vAlign w:val="center"/>
          </w:tcPr>
          <w:p>
            <w:pPr>
              <w:spacing w:after="40" w:before="40" w:line="240" w:lineRule="auto"/>
            </w:pPr>
            <w:r>
              <w:rPr>
                <w:rFonts w:ascii="Arial" w:hAnsi="Arial"/>
                <w:b w:val="0"/>
                <w:sz w:val="19"/>
              </w:rPr>
              <w:t>Big Data: datos o flujos cuyas propiedades (por ejemplo, volumen, velocidad, variedad y variabilidad) pueden exigir arquitecturas escalables; no es un algoritmo.</w:t>
            </w:r>
          </w:p>
        </w:tc>
        <w:tc>
          <w:tcPr>
            <w:tcW w:type="dxa" w:w="2498"/>
            <w:vAlign w:val="center"/>
          </w:tcPr>
          <w:p>
            <w:pPr>
              <w:spacing w:after="40" w:before="40" w:line="240" w:lineRule="auto"/>
            </w:pPr>
            <w:r>
              <w:rPr>
                <w:rFonts w:ascii="Arial" w:hAnsi="Arial"/>
                <w:b w:val="0"/>
                <w:sz w:val="19"/>
              </w:rPr>
              <w:t>Procesar fuentes grandes, diversas o de alta velocidad; telemetría, registros, sensores y análisis de flujos.</w:t>
            </w:r>
          </w:p>
        </w:tc>
        <w:tc>
          <w:tcPr>
            <w:tcW w:type="dxa" w:w="2498"/>
            <w:vAlign w:val="center"/>
          </w:tcPr>
          <w:p>
            <w:pPr>
              <w:spacing w:after="40" w:before="40" w:line="240" w:lineRule="auto"/>
            </w:pPr>
            <w:r>
              <w:rPr>
                <w:rFonts w:ascii="Arial" w:hAnsi="Arial"/>
                <w:b w:val="0"/>
                <w:sz w:val="19"/>
              </w:rPr>
              <w:t>Coste, gobernanza, seguridad, latencia e integración; reto de mantener calidad y operación distribuida. La elección depende de requisitos de escala (Chang et al., 2018).</w:t>
            </w:r>
          </w:p>
        </w:tc>
        <w:tc>
          <w:tcPr>
            <w:tcW w:type="dxa" w:w="2498"/>
            <w:vAlign w:val="center"/>
          </w:tcPr>
          <w:p>
            <w:pPr>
              <w:spacing w:after="40" w:before="40" w:line="240" w:lineRule="auto"/>
            </w:pPr>
            <w:r>
              <w:rPr>
                <w:rFonts w:ascii="Arial" w:hAnsi="Arial"/>
                <w:b w:val="0"/>
                <w:sz w:val="19"/>
              </w:rPr>
              <w:t>Hadoop y Spark son ejemplos de ecosistema distribuido; se citan sólo como referencia, no como herramientas seleccionadas.</w:t>
            </w:r>
          </w:p>
        </w:tc>
      </w:tr>
    </w:tbl>
    <w:p>
      <w:pPr>
        <w:spacing w:after="20"/>
      </w:pPr>
    </w:p>
    <w:p>
      <w:r>
        <w:t>El CSV tabular de 2,111 registros no se clasifica como Big Data por usar ML: no hay evidencia de volumen, velocidad o arquitectura que lo requiera.</w:t>
      </w:r>
    </w:p>
    <w:p>
      <w:pPr>
        <w:pStyle w:val="Heading1"/>
      </w:pPr>
      <w:r>
        <w:t>6. Tecnologías seleccionadas</w:t>
      </w:r>
    </w:p>
    <w:tbl>
      <w:tblPr>
        <w:tblStyle w:val="TableGrid"/>
        <w:tblW w:type="auto" w:w="0"/>
        <w:jc w:val="center"/>
        <w:tblLayout w:type="autofit"/>
        <w:tblLook w:firstColumn="1" w:firstRow="1" w:lastColumn="0" w:lastRow="0" w:noHBand="0" w:noVBand="1" w:val="04A0"/>
      </w:tblPr>
      <w:tblGrid>
        <w:gridCol w:w="4997"/>
        <w:gridCol w:w="4997"/>
      </w:tblGrid>
      <w:tr>
        <w:trPr>
          <w:cantSplit/>
          <w:tblHeader w:val="true"/>
        </w:trPr>
        <w:tc>
          <w:tcPr>
            <w:tcW w:type="dxa" w:w="4997"/>
            <w:vAlign w:val="center"/>
            <w:shd w:fill="DCEFEA"/>
          </w:tcPr>
          <w:p>
            <w:pPr>
              <w:spacing w:after="40" w:before="40" w:line="240" w:lineRule="auto"/>
            </w:pPr>
            <w:r>
              <w:rPr>
                <w:rFonts w:ascii="Arial" w:hAnsi="Arial"/>
                <w:b/>
                <w:sz w:val="19"/>
              </w:rPr>
              <w:t>Herramienta</w:t>
            </w:r>
          </w:p>
        </w:tc>
        <w:tc>
          <w:tcPr>
            <w:tcW w:type="dxa" w:w="4997"/>
            <w:vAlign w:val="center"/>
            <w:shd w:fill="DCEFEA"/>
          </w:tcPr>
          <w:p>
            <w:pPr>
              <w:spacing w:after="40" w:before="40" w:line="240" w:lineRule="auto"/>
            </w:pPr>
            <w:r>
              <w:rPr>
                <w:rFonts w:ascii="Arial" w:hAnsi="Arial"/>
                <w:b/>
                <w:sz w:val="19"/>
              </w:rPr>
              <w:t>Uso y justificación</w:t>
            </w:r>
          </w:p>
        </w:tc>
      </w:tr>
      <w:tr>
        <w:trPr>
          <w:cantSplit/>
        </w:trPr>
        <w:tc>
          <w:tcPr>
            <w:tcW w:type="dxa" w:w="4997"/>
            <w:vAlign w:val="center"/>
          </w:tcPr>
          <w:p>
            <w:pPr>
              <w:spacing w:after="40" w:before="40" w:line="240" w:lineRule="auto"/>
            </w:pPr>
            <w:r>
              <w:rPr>
                <w:rFonts w:ascii="Arial" w:hAnsi="Arial"/>
                <w:b w:val="0"/>
                <w:sz w:val="19"/>
              </w:rPr>
              <w:t>Python</w:t>
            </w:r>
          </w:p>
        </w:tc>
        <w:tc>
          <w:tcPr>
            <w:tcW w:type="dxa" w:w="4997"/>
            <w:vAlign w:val="center"/>
          </w:tcPr>
          <w:p>
            <w:pPr>
              <w:spacing w:after="40" w:before="40" w:line="240" w:lineRule="auto"/>
            </w:pPr>
            <w:r>
              <w:rPr>
                <w:rFonts w:ascii="Arial" w:hAnsi="Arial"/>
                <w:b w:val="0"/>
                <w:sz w:val="19"/>
              </w:rPr>
              <w:t>Lenguaje para análisis reproducible y automatización.</w:t>
            </w:r>
          </w:p>
        </w:tc>
      </w:tr>
      <w:tr>
        <w:trPr>
          <w:cantSplit/>
        </w:trPr>
        <w:tc>
          <w:tcPr>
            <w:tcW w:type="dxa" w:w="4997"/>
            <w:vAlign w:val="center"/>
          </w:tcPr>
          <w:p>
            <w:pPr>
              <w:spacing w:after="40" w:before="40" w:line="240" w:lineRule="auto"/>
            </w:pPr>
            <w:r>
              <w:rPr>
                <w:rFonts w:ascii="Arial" w:hAnsi="Arial"/>
                <w:b w:val="0"/>
                <w:sz w:val="19"/>
              </w:rPr>
              <w:t>Pandas y NumPy</w:t>
            </w:r>
          </w:p>
        </w:tc>
        <w:tc>
          <w:tcPr>
            <w:tcW w:type="dxa" w:w="4997"/>
            <w:vAlign w:val="center"/>
          </w:tcPr>
          <w:p>
            <w:pPr>
              <w:spacing w:after="40" w:before="40" w:line="240" w:lineRule="auto"/>
            </w:pPr>
            <w:r>
              <w:rPr>
                <w:rFonts w:ascii="Arial" w:hAnsi="Arial"/>
                <w:b w:val="0"/>
                <w:sz w:val="19"/>
              </w:rPr>
              <w:t>Lectura, manipulación tabular y operaciones numéricas.</w:t>
            </w:r>
          </w:p>
        </w:tc>
      </w:tr>
      <w:tr>
        <w:trPr>
          <w:cantSplit/>
        </w:trPr>
        <w:tc>
          <w:tcPr>
            <w:tcW w:type="dxa" w:w="4997"/>
            <w:vAlign w:val="center"/>
          </w:tcPr>
          <w:p>
            <w:pPr>
              <w:spacing w:after="40" w:before="40" w:line="240" w:lineRule="auto"/>
            </w:pPr>
            <w:r>
              <w:rPr>
                <w:rFonts w:ascii="Arial" w:hAnsi="Arial"/>
                <w:b w:val="0"/>
                <w:sz w:val="19"/>
              </w:rPr>
              <w:t>scikit-learn</w:t>
            </w:r>
          </w:p>
        </w:tc>
        <w:tc>
          <w:tcPr>
            <w:tcW w:type="dxa" w:w="4997"/>
            <w:vAlign w:val="center"/>
          </w:tcPr>
          <w:p>
            <w:pPr>
              <w:spacing w:after="40" w:before="40" w:line="240" w:lineRule="auto"/>
            </w:pPr>
            <w:r>
              <w:rPr>
                <w:rFonts w:ascii="Arial" w:hAnsi="Arial"/>
                <w:b w:val="0"/>
                <w:sz w:val="19"/>
              </w:rPr>
              <w:t>Preprocesamiento, modelos y evaluación en las unidades correspondientes.</w:t>
            </w:r>
          </w:p>
        </w:tc>
      </w:tr>
      <w:tr>
        <w:trPr>
          <w:cantSplit/>
        </w:trPr>
        <w:tc>
          <w:tcPr>
            <w:tcW w:type="dxa" w:w="4997"/>
            <w:vAlign w:val="center"/>
          </w:tcPr>
          <w:p>
            <w:pPr>
              <w:spacing w:after="40" w:before="40" w:line="240" w:lineRule="auto"/>
            </w:pPr>
            <w:r>
              <w:rPr>
                <w:rFonts w:ascii="Arial" w:hAnsi="Arial"/>
                <w:b w:val="0"/>
                <w:sz w:val="19"/>
              </w:rPr>
              <w:t>Jupyter y Matplotlib</w:t>
            </w:r>
          </w:p>
        </w:tc>
        <w:tc>
          <w:tcPr>
            <w:tcW w:type="dxa" w:w="4997"/>
            <w:vAlign w:val="center"/>
          </w:tcPr>
          <w:p>
            <w:pPr>
              <w:spacing w:after="40" w:before="40" w:line="240" w:lineRule="auto"/>
            </w:pPr>
            <w:r>
              <w:rPr>
                <w:rFonts w:ascii="Arial" w:hAnsi="Arial"/>
                <w:b w:val="0"/>
                <w:sz w:val="19"/>
              </w:rPr>
              <w:t>Registro reproducible de análisis y visualización exploratoria.</w:t>
            </w:r>
          </w:p>
        </w:tc>
      </w:tr>
      <w:tr>
        <w:trPr>
          <w:cantSplit/>
        </w:trPr>
        <w:tc>
          <w:tcPr>
            <w:tcW w:type="dxa" w:w="4997"/>
            <w:vAlign w:val="center"/>
          </w:tcPr>
          <w:p>
            <w:pPr>
              <w:spacing w:after="40" w:before="40" w:line="240" w:lineRule="auto"/>
            </w:pPr>
            <w:r>
              <w:rPr>
                <w:rFonts w:ascii="Arial" w:hAnsi="Arial"/>
                <w:b w:val="0"/>
                <w:sz w:val="19"/>
              </w:rPr>
              <w:t>SQL Server</w:t>
            </w:r>
          </w:p>
        </w:tc>
        <w:tc>
          <w:tcPr>
            <w:tcW w:type="dxa" w:w="4997"/>
            <w:vAlign w:val="center"/>
          </w:tcPr>
          <w:p>
            <w:pPr>
              <w:spacing w:after="40" w:before="40" w:line="240" w:lineRule="auto"/>
            </w:pPr>
            <w:r>
              <w:rPr>
                <w:rFonts w:ascii="Arial" w:hAnsi="Arial"/>
                <w:b w:val="0"/>
                <w:sz w:val="19"/>
              </w:rPr>
              <w:t>Plataforma indicada para el Data Mart cuando corresponda.</w:t>
            </w:r>
          </w:p>
        </w:tc>
      </w:tr>
      <w:tr>
        <w:trPr>
          <w:cantSplit/>
        </w:trPr>
        <w:tc>
          <w:tcPr>
            <w:tcW w:type="dxa" w:w="4997"/>
            <w:vAlign w:val="center"/>
          </w:tcPr>
          <w:p>
            <w:pPr>
              <w:spacing w:after="40" w:before="40" w:line="240" w:lineRule="auto"/>
            </w:pPr>
            <w:r>
              <w:rPr>
                <w:rFonts w:ascii="Arial" w:hAnsi="Arial"/>
                <w:b w:val="0"/>
                <w:sz w:val="19"/>
              </w:rPr>
              <w:t>Power BI</w:t>
            </w:r>
          </w:p>
        </w:tc>
        <w:tc>
          <w:tcPr>
            <w:tcW w:type="dxa" w:w="4997"/>
            <w:vAlign w:val="center"/>
          </w:tcPr>
          <w:p>
            <w:pPr>
              <w:spacing w:after="40" w:before="40" w:line="240" w:lineRule="auto"/>
            </w:pPr>
            <w:r>
              <w:rPr>
                <w:rFonts w:ascii="Arial" w:hAnsi="Arial"/>
                <w:b w:val="0"/>
                <w:sz w:val="19"/>
              </w:rPr>
              <w:t>Herramienta indicada para dashboard final y comunicación visual.</w:t>
            </w:r>
          </w:p>
        </w:tc>
      </w:tr>
      <w:tr>
        <w:trPr>
          <w:cantSplit/>
        </w:trPr>
        <w:tc>
          <w:tcPr>
            <w:tcW w:type="dxa" w:w="4997"/>
            <w:vAlign w:val="center"/>
          </w:tcPr>
          <w:p>
            <w:pPr>
              <w:spacing w:after="40" w:before="40" w:line="240" w:lineRule="auto"/>
            </w:pPr>
            <w:r>
              <w:rPr>
                <w:rFonts w:ascii="Arial" w:hAnsi="Arial"/>
                <w:b w:val="0"/>
                <w:sz w:val="19"/>
              </w:rPr>
              <w:t>Git y GitHub</w:t>
            </w:r>
          </w:p>
        </w:tc>
        <w:tc>
          <w:tcPr>
            <w:tcW w:type="dxa" w:w="4997"/>
            <w:vAlign w:val="center"/>
          </w:tcPr>
          <w:p>
            <w:pPr>
              <w:spacing w:after="40" w:before="40" w:line="240" w:lineRule="auto"/>
            </w:pPr>
            <w:r>
              <w:rPr>
                <w:rFonts w:ascii="Arial" w:hAnsi="Arial"/>
                <w:b w:val="0"/>
                <w:sz w:val="19"/>
              </w:rPr>
              <w:t>Trazabilidad de cambios y respaldo del código y documentos.</w:t>
            </w:r>
          </w:p>
        </w:tc>
      </w:tr>
    </w:tbl>
    <w:p>
      <w:pPr>
        <w:spacing w:after="20"/>
      </w:pPr>
    </w:p>
    <w:p>
      <w:r>
        <w:t>No se fijan versiones de dependencias en esta planeación ni se afirma que los modelos o el dashboard ya existan.</w:t>
      </w:r>
    </w:p>
    <w:p>
      <w:pPr>
        <w:pStyle w:val="Heading1"/>
      </w:pPr>
      <w:r>
        <w:t>7. Metodología CRISP-DM</w:t>
      </w:r>
    </w:p>
    <w:p>
      <w:r>
        <w:t>CRISP-DM contempla seis fases iterativas: comprensión del negocio, comprensión de los datos, preparación, modelado, evaluación y despliegue. La evaluación puede llevar a revisar fases anteriores (Chapman et al., 2000).</w:t>
      </w:r>
    </w:p>
    <w:tbl>
      <w:tblPr>
        <w:tblStyle w:val="TableGrid"/>
        <w:tblW w:type="auto" w:w="0"/>
        <w:jc w:val="center"/>
        <w:tblLayout w:type="autofit"/>
        <w:tblLook w:firstColumn="1" w:firstRow="1" w:lastColumn="0" w:lastRow="0" w:noHBand="0" w:noVBand="1" w:val="04A0"/>
      </w:tblPr>
      <w:tblGrid>
        <w:gridCol w:w="3331"/>
        <w:gridCol w:w="3331"/>
        <w:gridCol w:w="3331"/>
      </w:tblGrid>
      <w:tr>
        <w:trPr>
          <w:cantSplit/>
          <w:tblHeader w:val="true"/>
        </w:trPr>
        <w:tc>
          <w:tcPr>
            <w:tcW w:type="dxa" w:w="3331"/>
            <w:vAlign w:val="center"/>
            <w:shd w:fill="DCEFEA"/>
          </w:tcPr>
          <w:p>
            <w:pPr>
              <w:spacing w:after="40" w:before="40" w:line="240" w:lineRule="auto"/>
            </w:pPr>
            <w:r>
              <w:rPr>
                <w:rFonts w:ascii="Arial" w:hAnsi="Arial"/>
                <w:b/>
                <w:sz w:val="19"/>
              </w:rPr>
              <w:t>Fase</w:t>
            </w:r>
          </w:p>
        </w:tc>
        <w:tc>
          <w:tcPr>
            <w:tcW w:type="dxa" w:w="3331"/>
            <w:vAlign w:val="center"/>
            <w:shd w:fill="DCEFEA"/>
          </w:tcPr>
          <w:p>
            <w:pPr>
              <w:spacing w:after="40" w:before="40" w:line="240" w:lineRule="auto"/>
            </w:pPr>
            <w:r>
              <w:rPr>
                <w:rFonts w:ascii="Arial" w:hAnsi="Arial"/>
                <w:b/>
                <w:sz w:val="19"/>
              </w:rPr>
              <w:t>Aplicación por unidad</w:t>
            </w:r>
          </w:p>
        </w:tc>
        <w:tc>
          <w:tcPr>
            <w:tcW w:type="dxa" w:w="3331"/>
            <w:vAlign w:val="center"/>
            <w:shd w:fill="DCEFEA"/>
          </w:tcPr>
          <w:p>
            <w:pPr>
              <w:spacing w:after="40" w:before="40" w:line="240" w:lineRule="auto"/>
            </w:pPr>
            <w:r>
              <w:rPr>
                <w:rFonts w:ascii="Arial" w:hAnsi="Arial"/>
                <w:b/>
                <w:sz w:val="19"/>
              </w:rPr>
              <w:t>Producto esperado</w:t>
            </w:r>
          </w:p>
        </w:tc>
      </w:tr>
      <w:tr>
        <w:trPr>
          <w:cantSplit/>
        </w:trPr>
        <w:tc>
          <w:tcPr>
            <w:tcW w:type="dxa" w:w="3331"/>
            <w:vAlign w:val="center"/>
          </w:tcPr>
          <w:p>
            <w:pPr>
              <w:spacing w:after="40" w:before="40" w:line="240" w:lineRule="auto"/>
            </w:pPr>
            <w:r>
              <w:rPr>
                <w:rFonts w:ascii="Arial" w:hAnsi="Arial"/>
                <w:b w:val="0"/>
                <w:sz w:val="19"/>
              </w:rPr>
              <w:t>Comprensión del negocio</w:t>
            </w:r>
          </w:p>
        </w:tc>
        <w:tc>
          <w:tcPr>
            <w:tcW w:type="dxa" w:w="3331"/>
            <w:vAlign w:val="center"/>
          </w:tcPr>
          <w:p>
            <w:pPr>
              <w:spacing w:after="40" w:before="40" w:line="240" w:lineRule="auto"/>
            </w:pPr>
            <w:r>
              <w:rPr>
                <w:rFonts w:ascii="Arial" w:hAnsi="Arial"/>
                <w:b w:val="0"/>
                <w:sz w:val="19"/>
              </w:rPr>
              <w:t>I: problema, objetivos, alcance y criterios de éxito.</w:t>
            </w:r>
          </w:p>
        </w:tc>
        <w:tc>
          <w:tcPr>
            <w:tcW w:type="dxa" w:w="3331"/>
            <w:vAlign w:val="center"/>
          </w:tcPr>
          <w:p>
            <w:pPr>
              <w:spacing w:after="40" w:before="40" w:line="240" w:lineRule="auto"/>
            </w:pPr>
            <w:r>
              <w:rPr>
                <w:rFonts w:ascii="Arial" w:hAnsi="Arial"/>
                <w:b w:val="0"/>
                <w:sz w:val="19"/>
              </w:rPr>
              <w:t>Planeación y preguntas delimitadas.</w:t>
            </w:r>
          </w:p>
        </w:tc>
      </w:tr>
      <w:tr>
        <w:trPr>
          <w:cantSplit/>
        </w:trPr>
        <w:tc>
          <w:tcPr>
            <w:tcW w:type="dxa" w:w="3331"/>
            <w:vAlign w:val="center"/>
          </w:tcPr>
          <w:p>
            <w:pPr>
              <w:spacing w:after="40" w:before="40" w:line="240" w:lineRule="auto"/>
            </w:pPr>
            <w:r>
              <w:rPr>
                <w:rFonts w:ascii="Arial" w:hAnsi="Arial"/>
                <w:b w:val="0"/>
                <w:sz w:val="19"/>
              </w:rPr>
              <w:t>Comprensión de los datos</w:t>
            </w:r>
          </w:p>
        </w:tc>
        <w:tc>
          <w:tcPr>
            <w:tcW w:type="dxa" w:w="3331"/>
            <w:vAlign w:val="center"/>
          </w:tcPr>
          <w:p>
            <w:pPr>
              <w:spacing w:after="40" w:before="40" w:line="240" w:lineRule="auto"/>
            </w:pPr>
            <w:r>
              <w:rPr>
                <w:rFonts w:ascii="Arial" w:hAnsi="Arial"/>
                <w:b w:val="0"/>
                <w:sz w:val="19"/>
              </w:rPr>
              <w:t>I–II: procedencia en I; exploración y calidad en II.</w:t>
            </w:r>
          </w:p>
        </w:tc>
        <w:tc>
          <w:tcPr>
            <w:tcW w:type="dxa" w:w="3331"/>
            <w:vAlign w:val="center"/>
          </w:tcPr>
          <w:p>
            <w:pPr>
              <w:spacing w:after="40" w:before="40" w:line="240" w:lineRule="auto"/>
            </w:pPr>
            <w:r>
              <w:rPr>
                <w:rFonts w:ascii="Arial" w:hAnsi="Arial"/>
                <w:b w:val="0"/>
                <w:sz w:val="19"/>
              </w:rPr>
              <w:t>Inventario, diccionario y reporte exploratorio.</w:t>
            </w:r>
          </w:p>
        </w:tc>
      </w:tr>
      <w:tr>
        <w:trPr>
          <w:cantSplit/>
        </w:trPr>
        <w:tc>
          <w:tcPr>
            <w:tcW w:type="dxa" w:w="3331"/>
            <w:vAlign w:val="center"/>
          </w:tcPr>
          <w:p>
            <w:pPr>
              <w:spacing w:after="40" w:before="40" w:line="240" w:lineRule="auto"/>
            </w:pPr>
            <w:r>
              <w:rPr>
                <w:rFonts w:ascii="Arial" w:hAnsi="Arial"/>
                <w:b w:val="0"/>
                <w:sz w:val="19"/>
              </w:rPr>
              <w:t>Preparación</w:t>
            </w:r>
          </w:p>
        </w:tc>
        <w:tc>
          <w:tcPr>
            <w:tcW w:type="dxa" w:w="3331"/>
            <w:vAlign w:val="center"/>
          </w:tcPr>
          <w:p>
            <w:pPr>
              <w:spacing w:after="40" w:before="40" w:line="240" w:lineRule="auto"/>
            </w:pPr>
            <w:r>
              <w:rPr>
                <w:rFonts w:ascii="Arial" w:hAnsi="Arial"/>
                <w:b w:val="0"/>
                <w:sz w:val="19"/>
              </w:rPr>
              <w:t>II: limpieza justificada, transformaciones y ETL; datos derivados separados del original; Data Mart SQL Server cuando aplique.</w:t>
            </w:r>
          </w:p>
        </w:tc>
        <w:tc>
          <w:tcPr>
            <w:tcW w:type="dxa" w:w="3331"/>
            <w:vAlign w:val="center"/>
          </w:tcPr>
          <w:p>
            <w:pPr>
              <w:spacing w:after="40" w:before="40" w:line="240" w:lineRule="auto"/>
            </w:pPr>
            <w:r>
              <w:rPr>
                <w:rFonts w:ascii="Arial" w:hAnsi="Arial"/>
                <w:b w:val="0"/>
                <w:sz w:val="19"/>
              </w:rPr>
              <w:t>Flujo reproducible y conjunto preparado.</w:t>
            </w:r>
          </w:p>
        </w:tc>
      </w:tr>
      <w:tr>
        <w:trPr>
          <w:cantSplit/>
        </w:trPr>
        <w:tc>
          <w:tcPr>
            <w:tcW w:type="dxa" w:w="3331"/>
            <w:vAlign w:val="center"/>
          </w:tcPr>
          <w:p>
            <w:pPr>
              <w:spacing w:after="40" w:before="40" w:line="240" w:lineRule="auto"/>
            </w:pPr>
            <w:r>
              <w:rPr>
                <w:rFonts w:ascii="Arial" w:hAnsi="Arial"/>
                <w:b w:val="0"/>
                <w:sz w:val="19"/>
              </w:rPr>
              <w:t>Modelado</w:t>
            </w:r>
          </w:p>
        </w:tc>
        <w:tc>
          <w:tcPr>
            <w:tcW w:type="dxa" w:w="3331"/>
            <w:vAlign w:val="center"/>
          </w:tcPr>
          <w:p>
            <w:pPr>
              <w:spacing w:after="40" w:before="40" w:line="240" w:lineRule="auto"/>
            </w:pPr>
            <w:r>
              <w:rPr>
                <w:rFonts w:ascii="Arial" w:hAnsi="Arial"/>
                <w:b w:val="0"/>
                <w:sz w:val="19"/>
              </w:rPr>
              <w:t>III: regresión y clasificación; IV: clustering y PCA.</w:t>
            </w:r>
          </w:p>
        </w:tc>
        <w:tc>
          <w:tcPr>
            <w:tcW w:type="dxa" w:w="3331"/>
            <w:vAlign w:val="center"/>
          </w:tcPr>
          <w:p>
            <w:pPr>
              <w:spacing w:after="40" w:before="40" w:line="240" w:lineRule="auto"/>
            </w:pPr>
            <w:r>
              <w:rPr>
                <w:rFonts w:ascii="Arial" w:hAnsi="Arial"/>
                <w:b w:val="0"/>
                <w:sz w:val="19"/>
              </w:rPr>
              <w:t>Implementaciones configuradas para las preguntas.</w:t>
            </w:r>
          </w:p>
        </w:tc>
      </w:tr>
      <w:tr>
        <w:trPr>
          <w:cantSplit/>
        </w:trPr>
        <w:tc>
          <w:tcPr>
            <w:tcW w:type="dxa" w:w="3331"/>
            <w:vAlign w:val="center"/>
          </w:tcPr>
          <w:p>
            <w:pPr>
              <w:spacing w:after="40" w:before="40" w:line="240" w:lineRule="auto"/>
            </w:pPr>
            <w:r>
              <w:rPr>
                <w:rFonts w:ascii="Arial" w:hAnsi="Arial"/>
                <w:b w:val="0"/>
                <w:sz w:val="19"/>
              </w:rPr>
              <w:t>Evaluación</w:t>
            </w:r>
          </w:p>
        </w:tc>
        <w:tc>
          <w:tcPr>
            <w:tcW w:type="dxa" w:w="3331"/>
            <w:vAlign w:val="center"/>
          </w:tcPr>
          <w:p>
            <w:pPr>
              <w:spacing w:after="40" w:before="40" w:line="240" w:lineRule="auto"/>
            </w:pPr>
            <w:r>
              <w:rPr>
                <w:rFonts w:ascii="Arial" w:hAnsi="Arial"/>
                <w:b w:val="0"/>
                <w:sz w:val="19"/>
              </w:rPr>
              <w:t>III–IV: validación, métricas, interpretación y revisión de límites; volver a objetivos si hace falta.</w:t>
            </w:r>
          </w:p>
        </w:tc>
        <w:tc>
          <w:tcPr>
            <w:tcW w:type="dxa" w:w="3331"/>
            <w:vAlign w:val="center"/>
          </w:tcPr>
          <w:p>
            <w:pPr>
              <w:spacing w:after="40" w:before="40" w:line="240" w:lineRule="auto"/>
            </w:pPr>
            <w:r>
              <w:rPr>
                <w:rFonts w:ascii="Arial" w:hAnsi="Arial"/>
                <w:b w:val="0"/>
                <w:sz w:val="19"/>
              </w:rPr>
              <w:t>Resultados calculados e interpretación sustentada.</w:t>
            </w:r>
          </w:p>
        </w:tc>
      </w:tr>
      <w:tr>
        <w:trPr>
          <w:cantSplit/>
        </w:trPr>
        <w:tc>
          <w:tcPr>
            <w:tcW w:type="dxa" w:w="3331"/>
            <w:vAlign w:val="center"/>
          </w:tcPr>
          <w:p>
            <w:pPr>
              <w:spacing w:after="40" w:before="40" w:line="240" w:lineRule="auto"/>
            </w:pPr>
            <w:r>
              <w:rPr>
                <w:rFonts w:ascii="Arial" w:hAnsi="Arial"/>
                <w:b w:val="0"/>
                <w:sz w:val="19"/>
              </w:rPr>
              <w:t>Despliegue y comunicación</w:t>
            </w:r>
          </w:p>
        </w:tc>
        <w:tc>
          <w:tcPr>
            <w:tcW w:type="dxa" w:w="3331"/>
            <w:vAlign w:val="center"/>
          </w:tcPr>
          <w:p>
            <w:pPr>
              <w:spacing w:after="40" w:before="40" w:line="240" w:lineRule="auto"/>
            </w:pPr>
            <w:r>
              <w:rPr>
                <w:rFonts w:ascii="Arial" w:hAnsi="Arial"/>
                <w:b w:val="0"/>
                <w:sz w:val="19"/>
              </w:rPr>
              <w:t>V: dashboard Power BI, documentación y defensa.</w:t>
            </w:r>
          </w:p>
        </w:tc>
        <w:tc>
          <w:tcPr>
            <w:tcW w:type="dxa" w:w="3331"/>
            <w:vAlign w:val="center"/>
          </w:tcPr>
          <w:p>
            <w:pPr>
              <w:spacing w:after="40" w:before="40" w:line="240" w:lineRule="auto"/>
            </w:pPr>
            <w:r>
              <w:rPr>
                <w:rFonts w:ascii="Arial" w:hAnsi="Arial"/>
                <w:b w:val="0"/>
                <w:sz w:val="19"/>
              </w:rPr>
              <w:t>Productos finales según la guía.</w:t>
            </w:r>
          </w:p>
        </w:tc>
      </w:tr>
    </w:tbl>
    <w:p>
      <w:pPr>
        <w:spacing w:after="20"/>
      </w:pPr>
    </w:p>
    <w:p>
      <w:r>
        <w:t>Este mapa distribuye el trabajo futuro y no afirma que las fases posteriores estén realizadas.</w:t>
      </w:r>
    </w:p>
    <w:p>
      <w:pPr>
        <w:pStyle w:val="Heading1"/>
      </w:pPr>
      <w:r>
        <w:t>8. Resultados esperados verificables</w:t>
      </w:r>
    </w:p>
    <w:p>
      <w:pPr>
        <w:pStyle w:val="ListBullet"/>
      </w:pPr>
      <w:r>
        <w:t>Documentación de problema, alcance, fuentes y variables.</w:t>
      </w:r>
    </w:p>
    <w:p>
      <w:pPr>
        <w:pStyle w:val="ListBullet"/>
      </w:pPr>
      <w:r>
        <w:t>Inventario y proceso de preparación reproducibles, con datos derivados identificados.</w:t>
      </w:r>
    </w:p>
    <w:p>
      <w:pPr>
        <w:pStyle w:val="ListBullet"/>
      </w:pPr>
      <w:r>
        <w:t>Implementaciones supervisadas con particiones, métricas, validación y análisis de limitaciones registrados.</w:t>
      </w:r>
    </w:p>
    <w:p>
      <w:pPr>
        <w:pStyle w:val="ListBullet"/>
      </w:pPr>
      <w:r>
        <w:t>Evaluaciones de clustering y PCA con criterios explícitos e interpretación de perfiles.</w:t>
      </w:r>
    </w:p>
    <w:p>
      <w:pPr>
        <w:pStyle w:val="ListBullet"/>
      </w:pPr>
      <w:r>
        <w:t>Dashboard Power BI y narrativa final que distingan asociaciones de causalidad y expliquen límites de los datos.</w:t>
      </w:r>
    </w:p>
    <w:p>
      <w:r>
        <w:t>No se anticipan métricas, resultados de modelos ni conclusiones empíricas.</w:t>
      </w:r>
    </w:p>
    <w:p>
      <w:r>
        <w:br w:type="page"/>
      </w:r>
    </w:p>
    <w:p>
      <w:pPr>
        <w:pStyle w:val="Heading1"/>
      </w:pPr>
      <w:r>
        <w:t>9. Cronograma oficial</w:t>
      </w:r>
    </w:p>
    <w:tbl>
      <w:tblPr>
        <w:tblStyle w:val="TableGrid"/>
        <w:tblW w:type="auto" w:w="0"/>
        <w:jc w:val="center"/>
        <w:tblLayout w:type="autofit"/>
        <w:tblLook w:firstColumn="1" w:firstRow="1" w:lastColumn="0" w:lastRow="0" w:noHBand="0" w:noVBand="1" w:val="04A0"/>
      </w:tblPr>
      <w:tblGrid>
        <w:gridCol w:w="3331"/>
        <w:gridCol w:w="3331"/>
        <w:gridCol w:w="3331"/>
      </w:tblGrid>
      <w:tr>
        <w:trPr>
          <w:cantSplit/>
          <w:tblHeader w:val="true"/>
        </w:trPr>
        <w:tc>
          <w:tcPr>
            <w:tcW w:type="dxa" w:w="3331"/>
            <w:vAlign w:val="center"/>
            <w:shd w:fill="DCEFEA"/>
          </w:tcPr>
          <w:p>
            <w:pPr>
              <w:spacing w:after="40" w:before="40" w:line="240" w:lineRule="auto"/>
            </w:pPr>
            <w:r>
              <w:rPr>
                <w:rFonts w:ascii="Arial" w:hAnsi="Arial"/>
                <w:b/>
                <w:sz w:val="19"/>
              </w:rPr>
              <w:t>Fecha</w:t>
            </w:r>
          </w:p>
        </w:tc>
        <w:tc>
          <w:tcPr>
            <w:tcW w:type="dxa" w:w="3331"/>
            <w:vAlign w:val="center"/>
            <w:shd w:fill="DCEFEA"/>
          </w:tcPr>
          <w:p>
            <w:pPr>
              <w:spacing w:after="40" w:before="40" w:line="240" w:lineRule="auto"/>
            </w:pPr>
            <w:r>
              <w:rPr>
                <w:rFonts w:ascii="Arial" w:hAnsi="Arial"/>
                <w:b/>
                <w:sz w:val="19"/>
              </w:rPr>
              <w:t>Hito oficial</w:t>
            </w:r>
          </w:p>
        </w:tc>
        <w:tc>
          <w:tcPr>
            <w:tcW w:type="dxa" w:w="3331"/>
            <w:vAlign w:val="center"/>
            <w:shd w:fill="DCEFEA"/>
          </w:tcPr>
          <w:p>
            <w:pPr>
              <w:spacing w:after="40" w:before="40" w:line="240" w:lineRule="auto"/>
            </w:pPr>
            <w:r>
              <w:rPr>
                <w:rFonts w:ascii="Arial" w:hAnsi="Arial"/>
                <w:b/>
                <w:sz w:val="19"/>
              </w:rPr>
              <w:t>Ponderación</w:t>
            </w:r>
          </w:p>
        </w:tc>
      </w:tr>
      <w:tr>
        <w:trPr>
          <w:cantSplit/>
        </w:trPr>
        <w:tc>
          <w:tcPr>
            <w:tcW w:type="dxa" w:w="3331"/>
            <w:vAlign w:val="center"/>
          </w:tcPr>
          <w:p>
            <w:pPr>
              <w:spacing w:after="40" w:before="40" w:line="240" w:lineRule="auto"/>
            </w:pPr>
            <w:r>
              <w:rPr>
                <w:rFonts w:ascii="Arial" w:hAnsi="Arial"/>
                <w:b w:val="0"/>
                <w:sz w:val="19"/>
              </w:rPr>
              <w:t>25 o 28 de septiembre de 2026</w:t>
            </w:r>
          </w:p>
        </w:tc>
        <w:tc>
          <w:tcPr>
            <w:tcW w:type="dxa" w:w="3331"/>
            <w:vAlign w:val="center"/>
          </w:tcPr>
          <w:p>
            <w:pPr>
              <w:spacing w:after="40" w:before="40" w:line="240" w:lineRule="auto"/>
            </w:pPr>
            <w:r>
              <w:rPr>
                <w:rFonts w:ascii="Arial" w:hAnsi="Arial"/>
                <w:b w:val="0"/>
                <w:sz w:val="19"/>
              </w:rPr>
              <w:t>Actividad 0; la discrepancia histórica se conserva.</w:t>
            </w:r>
          </w:p>
        </w:tc>
        <w:tc>
          <w:tcPr>
            <w:tcW w:type="dxa" w:w="3331"/>
            <w:vAlign w:val="center"/>
          </w:tcPr>
          <w:p>
            <w:pPr>
              <w:spacing w:after="40" w:before="40" w:line="240" w:lineRule="auto"/>
            </w:pPr>
            <w:r>
              <w:rPr>
                <w:rFonts w:ascii="Arial" w:hAnsi="Arial"/>
                <w:b w:val="0"/>
                <w:sz w:val="19"/>
              </w:rPr>
              <w:t>—</w:t>
            </w:r>
          </w:p>
        </w:tc>
      </w:tr>
      <w:tr>
        <w:trPr>
          <w:cantSplit/>
        </w:trPr>
        <w:tc>
          <w:tcPr>
            <w:tcW w:type="dxa" w:w="3331"/>
            <w:vAlign w:val="center"/>
          </w:tcPr>
          <w:p>
            <w:pPr>
              <w:spacing w:after="40" w:before="40" w:line="240" w:lineRule="auto"/>
            </w:pPr>
            <w:r>
              <w:rPr>
                <w:rFonts w:ascii="Arial" w:hAnsi="Arial"/>
                <w:b w:val="0"/>
                <w:sz w:val="19"/>
              </w:rPr>
              <w:t>2 de octubre de 2026</w:t>
            </w:r>
          </w:p>
        </w:tc>
        <w:tc>
          <w:tcPr>
            <w:tcW w:type="dxa" w:w="3331"/>
            <w:vAlign w:val="center"/>
          </w:tcPr>
          <w:p>
            <w:pPr>
              <w:spacing w:after="40" w:before="40" w:line="240" w:lineRule="auto"/>
            </w:pPr>
            <w:r>
              <w:rPr>
                <w:rFonts w:ascii="Arial" w:hAnsi="Arial"/>
                <w:b w:val="0"/>
                <w:sz w:val="19"/>
              </w:rPr>
              <w:t>Entrega Unidad I.</w:t>
            </w:r>
          </w:p>
        </w:tc>
        <w:tc>
          <w:tcPr>
            <w:tcW w:type="dxa" w:w="3331"/>
            <w:vAlign w:val="center"/>
          </w:tcPr>
          <w:p>
            <w:pPr>
              <w:spacing w:after="40" w:before="40" w:line="240" w:lineRule="auto"/>
            </w:pPr>
            <w:r>
              <w:rPr>
                <w:rFonts w:ascii="Arial" w:hAnsi="Arial"/>
                <w:b w:val="0"/>
                <w:sz w:val="19"/>
              </w:rPr>
              <w:t>20%</w:t>
            </w:r>
          </w:p>
        </w:tc>
      </w:tr>
      <w:tr>
        <w:trPr>
          <w:cantSplit/>
        </w:trPr>
        <w:tc>
          <w:tcPr>
            <w:tcW w:type="dxa" w:w="3331"/>
            <w:vAlign w:val="center"/>
          </w:tcPr>
          <w:p>
            <w:pPr>
              <w:spacing w:after="40" w:before="40" w:line="240" w:lineRule="auto"/>
            </w:pPr>
            <w:r>
              <w:rPr>
                <w:rFonts w:ascii="Arial" w:hAnsi="Arial"/>
                <w:b w:val="0"/>
                <w:sz w:val="19"/>
              </w:rPr>
              <w:t>9 de octubre de 2026</w:t>
            </w:r>
          </w:p>
        </w:tc>
        <w:tc>
          <w:tcPr>
            <w:tcW w:type="dxa" w:w="3331"/>
            <w:vAlign w:val="center"/>
          </w:tcPr>
          <w:p>
            <w:pPr>
              <w:spacing w:after="40" w:before="40" w:line="240" w:lineRule="auto"/>
            </w:pPr>
            <w:r>
              <w:rPr>
                <w:rFonts w:ascii="Arial" w:hAnsi="Arial"/>
                <w:b w:val="0"/>
                <w:sz w:val="19"/>
              </w:rPr>
              <w:t>Revisión Unidad II.</w:t>
            </w:r>
          </w:p>
        </w:tc>
        <w:tc>
          <w:tcPr>
            <w:tcW w:type="dxa" w:w="3331"/>
            <w:vAlign w:val="center"/>
          </w:tcPr>
          <w:p>
            <w:pPr>
              <w:spacing w:after="40" w:before="40" w:line="240" w:lineRule="auto"/>
            </w:pPr>
            <w:r>
              <w:rPr>
                <w:rFonts w:ascii="Arial" w:hAnsi="Arial"/>
                <w:b w:val="0"/>
                <w:sz w:val="19"/>
              </w:rPr>
              <w:t>—</w:t>
            </w:r>
          </w:p>
        </w:tc>
      </w:tr>
      <w:tr>
        <w:trPr>
          <w:cantSplit/>
        </w:trPr>
        <w:tc>
          <w:tcPr>
            <w:tcW w:type="dxa" w:w="3331"/>
            <w:vAlign w:val="center"/>
          </w:tcPr>
          <w:p>
            <w:pPr>
              <w:spacing w:after="40" w:before="40" w:line="240" w:lineRule="auto"/>
            </w:pPr>
            <w:r>
              <w:rPr>
                <w:rFonts w:ascii="Arial" w:hAnsi="Arial"/>
                <w:b w:val="0"/>
                <w:sz w:val="19"/>
              </w:rPr>
              <w:t>16 de octubre de 2026</w:t>
            </w:r>
          </w:p>
        </w:tc>
        <w:tc>
          <w:tcPr>
            <w:tcW w:type="dxa" w:w="3331"/>
            <w:vAlign w:val="center"/>
          </w:tcPr>
          <w:p>
            <w:pPr>
              <w:spacing w:after="40" w:before="40" w:line="240" w:lineRule="auto"/>
            </w:pPr>
            <w:r>
              <w:rPr>
                <w:rFonts w:ascii="Arial" w:hAnsi="Arial"/>
                <w:b w:val="0"/>
                <w:sz w:val="19"/>
              </w:rPr>
              <w:t>Entrega Unidad II.</w:t>
            </w:r>
          </w:p>
        </w:tc>
        <w:tc>
          <w:tcPr>
            <w:tcW w:type="dxa" w:w="3331"/>
            <w:vAlign w:val="center"/>
          </w:tcPr>
          <w:p>
            <w:pPr>
              <w:spacing w:after="40" w:before="40" w:line="240" w:lineRule="auto"/>
            </w:pPr>
            <w:r>
              <w:rPr>
                <w:rFonts w:ascii="Arial" w:hAnsi="Arial"/>
                <w:b w:val="0"/>
                <w:sz w:val="19"/>
              </w:rPr>
              <w:t>15%</w:t>
            </w:r>
          </w:p>
        </w:tc>
      </w:tr>
      <w:tr>
        <w:trPr>
          <w:cantSplit/>
        </w:trPr>
        <w:tc>
          <w:tcPr>
            <w:tcW w:type="dxa" w:w="3331"/>
            <w:vAlign w:val="center"/>
          </w:tcPr>
          <w:p>
            <w:pPr>
              <w:spacing w:after="40" w:before="40" w:line="240" w:lineRule="auto"/>
            </w:pPr>
            <w:r>
              <w:rPr>
                <w:rFonts w:ascii="Arial" w:hAnsi="Arial"/>
                <w:b w:val="0"/>
                <w:sz w:val="19"/>
              </w:rPr>
              <w:t>23 de octubre de 2026</w:t>
            </w:r>
          </w:p>
        </w:tc>
        <w:tc>
          <w:tcPr>
            <w:tcW w:type="dxa" w:w="3331"/>
            <w:vAlign w:val="center"/>
          </w:tcPr>
          <w:p>
            <w:pPr>
              <w:spacing w:after="40" w:before="40" w:line="240" w:lineRule="auto"/>
            </w:pPr>
            <w:r>
              <w:rPr>
                <w:rFonts w:ascii="Arial" w:hAnsi="Arial"/>
                <w:b w:val="0"/>
                <w:sz w:val="19"/>
              </w:rPr>
              <w:t>Revisión Unidad III.</w:t>
            </w:r>
          </w:p>
        </w:tc>
        <w:tc>
          <w:tcPr>
            <w:tcW w:type="dxa" w:w="3331"/>
            <w:vAlign w:val="center"/>
          </w:tcPr>
          <w:p>
            <w:pPr>
              <w:spacing w:after="40" w:before="40" w:line="240" w:lineRule="auto"/>
            </w:pPr>
            <w:r>
              <w:rPr>
                <w:rFonts w:ascii="Arial" w:hAnsi="Arial"/>
                <w:b w:val="0"/>
                <w:sz w:val="19"/>
              </w:rPr>
              <w:t>—</w:t>
            </w:r>
          </w:p>
        </w:tc>
      </w:tr>
      <w:tr>
        <w:trPr>
          <w:cantSplit/>
        </w:trPr>
        <w:tc>
          <w:tcPr>
            <w:tcW w:type="dxa" w:w="3331"/>
            <w:vAlign w:val="center"/>
          </w:tcPr>
          <w:p>
            <w:pPr>
              <w:spacing w:after="40" w:before="40" w:line="240" w:lineRule="auto"/>
            </w:pPr>
            <w:r>
              <w:rPr>
                <w:rFonts w:ascii="Arial" w:hAnsi="Arial"/>
                <w:b w:val="0"/>
                <w:sz w:val="19"/>
              </w:rPr>
              <w:t>30 de octubre de 2026</w:t>
            </w:r>
          </w:p>
        </w:tc>
        <w:tc>
          <w:tcPr>
            <w:tcW w:type="dxa" w:w="3331"/>
            <w:vAlign w:val="center"/>
          </w:tcPr>
          <w:p>
            <w:pPr>
              <w:spacing w:after="40" w:before="40" w:line="240" w:lineRule="auto"/>
            </w:pPr>
            <w:r>
              <w:rPr>
                <w:rFonts w:ascii="Arial" w:hAnsi="Arial"/>
                <w:b w:val="0"/>
                <w:sz w:val="19"/>
              </w:rPr>
              <w:t>Entrega Unidad III.</w:t>
            </w:r>
          </w:p>
        </w:tc>
        <w:tc>
          <w:tcPr>
            <w:tcW w:type="dxa" w:w="3331"/>
            <w:vAlign w:val="center"/>
          </w:tcPr>
          <w:p>
            <w:pPr>
              <w:spacing w:after="40" w:before="40" w:line="240" w:lineRule="auto"/>
            </w:pPr>
            <w:r>
              <w:rPr>
                <w:rFonts w:ascii="Arial" w:hAnsi="Arial"/>
                <w:b w:val="0"/>
                <w:sz w:val="19"/>
              </w:rPr>
              <w:t>25%</w:t>
            </w:r>
          </w:p>
        </w:tc>
      </w:tr>
      <w:tr>
        <w:trPr>
          <w:cantSplit/>
        </w:trPr>
        <w:tc>
          <w:tcPr>
            <w:tcW w:type="dxa" w:w="3331"/>
            <w:vAlign w:val="center"/>
          </w:tcPr>
          <w:p>
            <w:pPr>
              <w:spacing w:after="40" w:before="40" w:line="240" w:lineRule="auto"/>
            </w:pPr>
            <w:r>
              <w:rPr>
                <w:rFonts w:ascii="Arial" w:hAnsi="Arial"/>
                <w:b w:val="0"/>
                <w:sz w:val="19"/>
              </w:rPr>
              <w:t>6 de noviembre de 2026</w:t>
            </w:r>
          </w:p>
        </w:tc>
        <w:tc>
          <w:tcPr>
            <w:tcW w:type="dxa" w:w="3331"/>
            <w:vAlign w:val="center"/>
          </w:tcPr>
          <w:p>
            <w:pPr>
              <w:spacing w:after="40" w:before="40" w:line="240" w:lineRule="auto"/>
            </w:pPr>
            <w:r>
              <w:rPr>
                <w:rFonts w:ascii="Arial" w:hAnsi="Arial"/>
                <w:b w:val="0"/>
                <w:sz w:val="19"/>
              </w:rPr>
              <w:t>Revisión Unidad IV.</w:t>
            </w:r>
          </w:p>
        </w:tc>
        <w:tc>
          <w:tcPr>
            <w:tcW w:type="dxa" w:w="3331"/>
            <w:vAlign w:val="center"/>
          </w:tcPr>
          <w:p>
            <w:pPr>
              <w:spacing w:after="40" w:before="40" w:line="240" w:lineRule="auto"/>
            </w:pPr>
            <w:r>
              <w:rPr>
                <w:rFonts w:ascii="Arial" w:hAnsi="Arial"/>
                <w:b w:val="0"/>
                <w:sz w:val="19"/>
              </w:rPr>
              <w:t>—</w:t>
            </w:r>
          </w:p>
        </w:tc>
      </w:tr>
      <w:tr>
        <w:trPr>
          <w:cantSplit/>
        </w:trPr>
        <w:tc>
          <w:tcPr>
            <w:tcW w:type="dxa" w:w="3331"/>
            <w:vAlign w:val="center"/>
          </w:tcPr>
          <w:p>
            <w:pPr>
              <w:spacing w:after="40" w:before="40" w:line="240" w:lineRule="auto"/>
            </w:pPr>
            <w:r>
              <w:rPr>
                <w:rFonts w:ascii="Arial" w:hAnsi="Arial"/>
                <w:b w:val="0"/>
                <w:sz w:val="19"/>
              </w:rPr>
              <w:t>13 de noviembre de 2026</w:t>
            </w:r>
          </w:p>
        </w:tc>
        <w:tc>
          <w:tcPr>
            <w:tcW w:type="dxa" w:w="3331"/>
            <w:vAlign w:val="center"/>
          </w:tcPr>
          <w:p>
            <w:pPr>
              <w:spacing w:after="40" w:before="40" w:line="240" w:lineRule="auto"/>
            </w:pPr>
            <w:r>
              <w:rPr>
                <w:rFonts w:ascii="Arial" w:hAnsi="Arial"/>
                <w:b w:val="0"/>
                <w:sz w:val="19"/>
              </w:rPr>
              <w:t>Entrega Unidad IV.</w:t>
            </w:r>
          </w:p>
        </w:tc>
        <w:tc>
          <w:tcPr>
            <w:tcW w:type="dxa" w:w="3331"/>
            <w:vAlign w:val="center"/>
          </w:tcPr>
          <w:p>
            <w:pPr>
              <w:spacing w:after="40" w:before="40" w:line="240" w:lineRule="auto"/>
            </w:pPr>
            <w:r>
              <w:rPr>
                <w:rFonts w:ascii="Arial" w:hAnsi="Arial"/>
                <w:b w:val="0"/>
                <w:sz w:val="19"/>
              </w:rPr>
              <w:t>25%</w:t>
            </w:r>
          </w:p>
        </w:tc>
      </w:tr>
      <w:tr>
        <w:trPr>
          <w:cantSplit/>
        </w:trPr>
        <w:tc>
          <w:tcPr>
            <w:tcW w:type="dxa" w:w="3331"/>
            <w:vAlign w:val="center"/>
          </w:tcPr>
          <w:p>
            <w:pPr>
              <w:spacing w:after="40" w:before="40" w:line="240" w:lineRule="auto"/>
            </w:pPr>
            <w:r>
              <w:rPr>
                <w:rFonts w:ascii="Arial" w:hAnsi="Arial"/>
                <w:b w:val="0"/>
                <w:sz w:val="19"/>
              </w:rPr>
              <w:t>17 de noviembre de 2026</w:t>
            </w:r>
          </w:p>
        </w:tc>
        <w:tc>
          <w:tcPr>
            <w:tcW w:type="dxa" w:w="3331"/>
            <w:vAlign w:val="center"/>
          </w:tcPr>
          <w:p>
            <w:pPr>
              <w:spacing w:after="40" w:before="40" w:line="240" w:lineRule="auto"/>
            </w:pPr>
            <w:r>
              <w:rPr>
                <w:rFonts w:ascii="Arial" w:hAnsi="Arial"/>
                <w:b w:val="0"/>
                <w:sz w:val="19"/>
              </w:rPr>
              <w:t>Revisión de dashboard y presentación.</w:t>
            </w:r>
          </w:p>
        </w:tc>
        <w:tc>
          <w:tcPr>
            <w:tcW w:type="dxa" w:w="3331"/>
            <w:vAlign w:val="center"/>
          </w:tcPr>
          <w:p>
            <w:pPr>
              <w:spacing w:after="40" w:before="40" w:line="240" w:lineRule="auto"/>
            </w:pPr>
            <w:r>
              <w:rPr>
                <w:rFonts w:ascii="Arial" w:hAnsi="Arial"/>
                <w:b w:val="0"/>
                <w:sz w:val="19"/>
              </w:rPr>
              <w:t>—</w:t>
            </w:r>
          </w:p>
        </w:tc>
      </w:tr>
      <w:tr>
        <w:trPr>
          <w:cantSplit/>
        </w:trPr>
        <w:tc>
          <w:tcPr>
            <w:tcW w:type="dxa" w:w="3331"/>
            <w:vAlign w:val="center"/>
          </w:tcPr>
          <w:p>
            <w:pPr>
              <w:spacing w:after="40" w:before="40" w:line="240" w:lineRule="auto"/>
            </w:pPr>
            <w:r>
              <w:rPr>
                <w:rFonts w:ascii="Arial" w:hAnsi="Arial"/>
                <w:b w:val="0"/>
                <w:sz w:val="19"/>
              </w:rPr>
              <w:t>20 de noviembre de 2026</w:t>
            </w:r>
          </w:p>
        </w:tc>
        <w:tc>
          <w:tcPr>
            <w:tcW w:type="dxa" w:w="3331"/>
            <w:vAlign w:val="center"/>
          </w:tcPr>
          <w:p>
            <w:pPr>
              <w:spacing w:after="40" w:before="40" w:line="240" w:lineRule="auto"/>
            </w:pPr>
            <w:r>
              <w:rPr>
                <w:rFonts w:ascii="Arial" w:hAnsi="Arial"/>
                <w:b w:val="0"/>
                <w:sz w:val="19"/>
              </w:rPr>
              <w:t>Unidad V y cierre.</w:t>
            </w:r>
          </w:p>
        </w:tc>
        <w:tc>
          <w:tcPr>
            <w:tcW w:type="dxa" w:w="3331"/>
            <w:vAlign w:val="center"/>
          </w:tcPr>
          <w:p>
            <w:pPr>
              <w:spacing w:after="40" w:before="40" w:line="240" w:lineRule="auto"/>
            </w:pPr>
            <w:r>
              <w:rPr>
                <w:rFonts w:ascii="Arial" w:hAnsi="Arial"/>
                <w:b w:val="0"/>
                <w:sz w:val="19"/>
              </w:rPr>
              <w:t>15%</w:t>
            </w:r>
          </w:p>
        </w:tc>
      </w:tr>
    </w:tbl>
    <w:p>
      <w:pPr>
        <w:spacing w:after="20"/>
      </w:pPr>
    </w:p>
    <w:p>
      <w:r>
        <w:t>Las fechas son hitos oficiales confirmados. Al 26 de octubre de 2026, las fechas anteriores ya transcurrieron; el calendario por sí solo no acredita entregas o revisiones realizadas, cuyo estado requiere evidencia independiente.</w:t>
      </w:r>
    </w:p>
    <w:p>
      <w:r>
        <w:br w:type="page"/>
      </w:r>
    </w:p>
    <w:p>
      <w:pPr>
        <w:pStyle w:val="Heading1"/>
      </w:pPr>
      <w:r>
        <w:t>10. Referencias</w:t>
      </w:r>
    </w:p>
    <w:p>
      <w:r>
        <w:t xml:space="preserve">Chang, W., Grady, N., &amp; NIST Big Data Public Working Group. (2018). </w:t>
      </w:r>
      <w:r>
        <w:rPr>
          <w:i/>
        </w:rPr>
        <w:t>NIST Big Data Interoperability Framework: Volume 1, Big Data Definitions</w:t>
      </w:r>
      <w:r>
        <w:t xml:space="preserve"> (NIST SP 1500-1, Version 2). National Institute of Standards and Technology. https://doi.org/10.6028/NIST.SP.1500-1r1</w:t>
      </w:r>
    </w:p>
    <w:p>
      <w:r>
        <w:t xml:space="preserve">Chapman, P., Clinton, J., Kerber, R., Khabaza, T., Reinartz, T., Shearer, C., &amp; Wirth, R. (2000). </w:t>
      </w:r>
      <w:r>
        <w:rPr>
          <w:i/>
        </w:rPr>
        <w:t>CRISP-DM 1.0: Step-by-step data mining guide</w:t>
      </w:r>
      <w:r>
        <w:t>. CRISP-DM Consortium. https://kddlab.com/files/CRISPWP-0800.pdf</w:t>
      </w:r>
    </w:p>
    <w:p>
      <w:r>
        <w:t xml:space="preserve">Han, J., Pei, J., &amp; Tong, H. (2022). </w:t>
      </w:r>
      <w:r>
        <w:rPr>
          <w:i/>
        </w:rPr>
        <w:t>Data mining: Concepts and techniques</w:t>
      </w:r>
      <w:r>
        <w:t xml:space="preserve"> (4th ed.). Morgan Kaufmann.</w:t>
      </w:r>
    </w:p>
    <w:p>
      <w:r>
        <w:t xml:space="preserve">Mendoza-Palechor, F., &amp; de la Hoz-Manotas, A. (2019). Dataset for estimation of obesity levels based on eating habits and physical condition in individuals from Colombia, Peru and Mexico. </w:t>
      </w:r>
      <w:r>
        <w:rPr>
          <w:i/>
        </w:rPr>
        <w:t>Data in Brief, 25</w:t>
      </w:r>
      <w:r>
        <w:t>, 104344. https://doi.org/10.1016/j.dib.2019.104344</w:t>
      </w:r>
    </w:p>
    <w:p>
      <w:r>
        <w:t xml:space="preserve">Mitchell, T. M. (1997). </w:t>
      </w:r>
      <w:r>
        <w:rPr>
          <w:i/>
        </w:rPr>
        <w:t>Machine learning</w:t>
      </w:r>
      <w:r>
        <w:t>. McGraw-Hill.</w:t>
      </w:r>
    </w:p>
    <w:p>
      <w:r>
        <w:t xml:space="preserve">Russell, S. J., &amp; Norvig, P. (2021). </w:t>
      </w:r>
      <w:r>
        <w:rPr>
          <w:i/>
        </w:rPr>
        <w:t>Artificial intelligence: A modern approach</w:t>
      </w:r>
      <w:r>
        <w:t xml:space="preserve"> (4th ed.). Pearson.</w:t>
      </w:r>
    </w:p>
    <w:p>
      <w:r>
        <w:t xml:space="preserve">UCI Machine Learning Repository. (2019). </w:t>
      </w:r>
      <w:r>
        <w:rPr>
          <w:i/>
        </w:rPr>
        <w:t>Estimation of Obesity Levels Based on Eating Habits and Physical Condition</w:t>
      </w:r>
      <w:r>
        <w:t xml:space="preserve"> (Dataset 544). https://doi.org/10.24432/C5H31Z</w:t>
      </w:r>
    </w:p>
    <w:sectPr w:rsidR="00FC693F" w:rsidRPr="0006063C" w:rsidSect="00034616">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Unidad I — Planeación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40" w:line="269" w:lineRule="auto"/>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6F65"/>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255C55"/>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255C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rial" w:hAnsi="Arial"/>
      <w:color w:val="006F6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Planeación del proyecto — Unidad I</dc:title>
  <dc:subject>Análisis de hábitos y condición física asociados con niveles de obesidad</dc:subject>
  <dc:creator>David Rafael Aguilar Solis</dc:creator>
  <cp:keywords/>
  <dc:description>generated by python-docx</dc:description>
  <cp:lastModifiedBy/>
  <cp:revision>1</cp:revision>
  <dcterms:created xsi:type="dcterms:W3CDTF">2013-12-23T23:15:00Z</dcterms:created>
  <dcterms:modified xsi:type="dcterms:W3CDTF">2013-12-23T23:15:00Z</dcterms:modified>
  <cp:category/>
</cp:coreProperties>
</file>