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QUALIBLICK</w:t>
      </w:r>
    </w:p>
    <w:p>
      <w:pPr>
        <w:spacing w:after="100"/>
        <w:jc w:val="center"/>
      </w:pPr>
      <w:r>
        <w:rPr>
          <w:rFonts w:ascii="Arial" w:cs="Arial" w:eastAsia="Arial" w:hAnsi="Arial"/>
          <w:color w:val="2E86C1"/>
          <w:sz w:val="36"/>
          <w:szCs w:val="36"/>
        </w:rPr>
        <w:t xml:space="preserve">Machine Vision System</w:t>
      </w:r>
    </w:p>
    <w:p>
      <w:pPr>
        <w:pBdr>
          <w:bottom w:val="single" w:color="2E86C1" w:sz="6" w:space="1"/>
        </w:pBdr>
        <w:spacing w:after="400"/>
        <w:jc w:val="center"/>
      </w:pPr>
    </w:p>
    <w:p>
      <w:pPr>
        <w:spacing w:after="200"/>
        <w:jc w:val="center"/>
      </w:pPr>
      <w:r>
        <w:rPr>
          <w:rFonts w:ascii="Arial" w:cs="Arial" w:eastAsia="Arial" w:hAnsi="Arial"/>
          <w:color w:val="333333"/>
          <w:sz w:val="32"/>
          <w:szCs w:val="32"/>
        </w:rPr>
        <w:t xml:space="preserve">Evaluación de Rendimiento y
Dispositivos de Reemplazo</w:t>
      </w:r>
    </w:p>
    <w:p>
      <w:pPr>
        <w:spacing w:after="100"/>
        <w:jc w:val="center"/>
      </w:pPr>
      <w:r>
        <w:rPr>
          <w:rFonts w:ascii="Arial" w:cs="Arial" w:eastAsia="Arial" w:hAnsi="Arial"/>
          <w:color w:val="666666"/>
          <w:sz w:val="24"/>
          <w:szCs w:val="24"/>
        </w:rPr>
        <w:t xml:space="preserve">Análisis Teórico: AGX Orin vs DGX Spark vs Jetson Thor</w:t>
      </w:r>
    </w:p>
    <w:p>
      <w:pPr>
        <w:spacing w:before="1500"/>
      </w:pPr>
    </w:p>
    <w:p>
      <w:pPr>
        <w:jc w:val="center"/>
      </w:pPr>
      <w:r>
        <w:rPr>
          <w:rFonts w:ascii="Arial" w:cs="Arial" w:eastAsia="Arial" w:hAnsi="Arial"/>
          <w:color w:val="888888"/>
          <w:sz w:val="22"/>
          <w:szCs w:val="22"/>
        </w:rPr>
        <w:t xml:space="preserve">Abril 2026</w:t>
      </w:r>
    </w:p>
    <w:p>
      <w:pPr>
        <w:jc w:val="center"/>
      </w:pPr>
      <w:r>
        <w:rPr>
          <w:rFonts w:ascii="Arial" w:cs="Arial" w:eastAsia="Arial" w:hAnsi="Arial"/>
          <w:i/>
          <w:iCs/>
          <w:color w:val="888888"/>
          <w:sz w:val="20"/>
          <w:szCs w:val="20"/>
        </w:rPr>
        <w:t xml:space="preserve">Documento generado para evaluación interna</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1. Resumen Ejecutivo</w:t>
      </w:r>
    </w:p>
    <w:p>
      <w:pPr>
        <w:spacing w:after="120"/>
        <w:jc w:val="left"/>
      </w:pPr>
      <w:r>
        <w:rPr>
          <w:rFonts w:ascii="Arial" w:cs="Arial" w:eastAsia="Arial" w:hAnsi="Arial"/>
          <w:b w:val="false"/>
          <w:bCs w:val="false"/>
          <w:i w:val="false"/>
          <w:iCs w:val="false"/>
          <w:color w:val="333333"/>
          <w:sz w:val="22"/>
          <w:szCs w:val="22"/>
        </w:rPr>
        <w:t xml:space="preserve">Este documento presenta un análisis teórico del sistema de visión artificial de Qualiblick, evaluando el rendimiento actual del pipeline sobre Jetson AGX Orin y calculando los límites teóricos máximos alcanzables. Adicionalmente, se comparan tres alternativas de hardware: optimizaciones sobre la misma AGX Orin, migración a Jetson Thor, y uso de DGX Spark.</w:t>
      </w:r>
    </w:p>
    <w:p>
      <w:pPr>
        <w:spacing w:after="120"/>
        <w:jc w:val="left"/>
      </w:pPr>
      <w:r>
        <w:rPr>
          <w:rFonts w:ascii="Arial" w:cs="Arial" w:eastAsia="Arial" w:hAnsi="Arial"/>
          <w:b/>
          <w:bCs/>
          <w:i w:val="false"/>
          <w:iCs w:val="false"/>
          <w:color w:val="333333"/>
          <w:sz w:val="22"/>
          <w:szCs w:val="22"/>
        </w:rPr>
        <w:t xml:space="preserve">Estado actual del sistema:</w:t>
      </w:r>
    </w:p>
    <w:p>
      <w:pPr>
        <w:pStyle w:val="ListParagraph"/>
        <w:numPr>
          <w:ilvl w:val="0"/>
          <w:numId w:val="2"/>
        </w:numPr>
        <w:spacing w:after="80"/>
      </w:pPr>
      <w:r>
        <w:rPr>
          <w:rFonts w:ascii="Arial" w:cs="Arial" w:eastAsia="Arial" w:hAnsi="Arial"/>
          <w:color w:val="333333"/>
          <w:sz w:val="22"/>
          <w:szCs w:val="22"/>
        </w:rPr>
        <w:t xml:space="preserve">Dispositivo: Jetson AGX Orin (275 TOPS INT8 sparse)</w:t>
      </w:r>
    </w:p>
    <w:p>
      <w:pPr>
        <w:pStyle w:val="ListParagraph"/>
        <w:numPr>
          <w:ilvl w:val="0"/>
          <w:numId w:val="2"/>
        </w:numPr>
        <w:spacing w:after="80"/>
      </w:pPr>
      <w:r>
        <w:rPr>
          <w:rFonts w:ascii="Arial" w:cs="Arial" w:eastAsia="Arial" w:hAnsi="Arial"/>
          <w:color w:val="333333"/>
          <w:sz w:val="22"/>
          <w:szCs w:val="22"/>
        </w:rPr>
        <w:t xml:space="preserve">Rendimiento medido: ~25 bulbos/segundo a ~45 FPS</w:t>
      </w:r>
    </w:p>
    <w:p>
      <w:pPr>
        <w:pStyle w:val="ListParagraph"/>
        <w:numPr>
          <w:ilvl w:val="0"/>
          <w:numId w:val="2"/>
        </w:numPr>
        <w:spacing w:after="80"/>
      </w:pPr>
      <w:r>
        <w:rPr>
          <w:rFonts w:ascii="Arial" w:cs="Arial" w:eastAsia="Arial" w:hAnsi="Arial"/>
          <w:color w:val="333333"/>
          <w:sz w:val="22"/>
          <w:szCs w:val="22"/>
        </w:rPr>
        <w:t xml:space="preserve">Modelo: YOLOv8-style, entrada 640×640, ONNX con TensorRT Provider (FP16)</w:t>
      </w:r>
    </w:p>
    <w:p>
      <w:pPr>
        <w:pStyle w:val="ListParagraph"/>
        <w:numPr>
          <w:ilvl w:val="0"/>
          <w:numId w:val="2"/>
        </w:numPr>
        <w:spacing w:after="80"/>
      </w:pPr>
      <w:r>
        <w:rPr>
          <w:rFonts w:ascii="Arial" w:cs="Arial" w:eastAsia="Arial" w:hAnsi="Arial"/>
          <w:color w:val="333333"/>
          <w:sz w:val="22"/>
          <w:szCs w:val="22"/>
        </w:rPr>
        <w:t xml:space="preserve">Pipeline: Multi-hilo con colas (captura → inferencia → tracking → DB), batch_size=1</w:t>
      </w:r>
    </w:p>
    <w:p>
      <w:pPr>
        <w:pStyle w:val="ListParagraph"/>
        <w:numPr>
          <w:ilvl w:val="0"/>
          <w:numId w:val="2"/>
        </w:numPr>
        <w:spacing w:after="80"/>
      </w:pPr>
      <w:r>
        <w:rPr>
          <w:rFonts w:ascii="Arial" w:cs="Arial" w:eastAsia="Arial" w:hAnsi="Arial"/>
          <w:color w:val="333333"/>
          <w:sz w:val="22"/>
          <w:szCs w:val="22"/>
        </w:rPr>
        <w:t xml:space="preserve">Cámara: GigE 1920×1080 configurada a 35 FPS</w:t>
      </w:r>
    </w:p>
    <w:p>
      <w:pPr>
        <w:pStyle w:val="Heading1"/>
        <w:spacing w:after="150" w:before="300"/>
      </w:pPr>
      <w:r>
        <w:rPr>
          <w:rFonts w:ascii="Arial" w:cs="Arial" w:eastAsia="Arial" w:hAnsi="Arial"/>
        </w:rPr>
        <w:t xml:space="preserve">2. Análisis del Pipeline Actual</w:t>
      </w:r>
    </w:p>
    <w:p>
      <w:pPr>
        <w:pStyle w:val="Heading2"/>
        <w:spacing w:after="150" w:before="300"/>
      </w:pPr>
      <w:r>
        <w:rPr>
          <w:rFonts w:ascii="Arial" w:cs="Arial" w:eastAsia="Arial" w:hAnsi="Arial"/>
        </w:rPr>
        <w:t xml:space="preserve">2.1 Arquitectura del Sistema</w:t>
      </w:r>
    </w:p>
    <w:p>
      <w:pPr>
        <w:spacing w:after="120"/>
        <w:jc w:val="left"/>
      </w:pPr>
      <w:r>
        <w:rPr>
          <w:rFonts w:ascii="Arial" w:cs="Arial" w:eastAsia="Arial" w:hAnsi="Arial"/>
          <w:b w:val="false"/>
          <w:bCs w:val="false"/>
          <w:i w:val="false"/>
          <w:iCs w:val="false"/>
          <w:color w:val="333333"/>
          <w:sz w:val="22"/>
          <w:szCs w:val="22"/>
        </w:rPr>
        <w:t xml:space="preserve">El pipeline opera con 4 hilos independientes conectados por colas thread-safe (Queue maxsize=5). Cada cola actúa como mecanismo de backpressure: si una etapa es lenta, las etapas anteriores se bloquean, limitando todo el pipeline a la velocidad del cuello de botella más lento.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Etapa</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Operación</w:t>
            </w:r>
          </w:p>
        </w:tc>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Latencia Est.</w:t>
            </w:r>
          </w:p>
        </w:tc>
        <w:tc>
          <w:tcPr>
            <w:tcW w:type="dxa" w:w="24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Cuello de Botella</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Captura</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GigE → Frame</w:t>
            </w:r>
          </w:p>
        </w:tc>
        <w:tc>
          <w:tcPr>
            <w:tcW w:type="dxa" w:w="2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~28ms (35 FPS)</w:t>
            </w:r>
          </w:p>
        </w:tc>
        <w:tc>
          <w:tcPr>
            <w:tcW w:type="dxa" w:w="2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C0392B"/>
                <w:sz w:val="20"/>
                <w:szCs w:val="20"/>
              </w:rPr>
              <w:t xml:space="preserve">Sí — FPS configurado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Inferencia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Resize+TRT+NMS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~10–15ms (FP16)</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al FPS actual</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 Tracking</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SORT + Conteo</w:t>
            </w:r>
          </w:p>
        </w:tc>
        <w:tc>
          <w:tcPr>
            <w:tcW w:type="dxa" w:w="2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~1–2ms</w:t>
            </w:r>
          </w:p>
        </w:tc>
        <w:tc>
          <w:tcPr>
            <w:tcW w:type="dxa" w:w="2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 Database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MongoDB batch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Async (60s batch)</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2.2 Desglose de Tiempos de Inferencia</w:t>
      </w:r>
    </w:p>
    <w:p>
      <w:pPr>
        <w:spacing w:after="120"/>
        <w:jc w:val="left"/>
      </w:pPr>
      <w:r>
        <w:rPr>
          <w:rFonts w:ascii="Arial" w:cs="Arial" w:eastAsia="Arial" w:hAnsi="Arial"/>
          <w:b w:val="false"/>
          <w:bCs w:val="false"/>
          <w:i w:val="false"/>
          <w:iCs w:val="false"/>
          <w:color w:val="333333"/>
          <w:sz w:val="22"/>
          <w:szCs w:val="22"/>
        </w:rPr>
        <w:t xml:space="preserve">La inferencia incluye 4 sub-etapas ejecutadas secuencialmente en un solo hilo: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Sub-etapa</w:t>
            </w:r>
          </w:p>
        </w:tc>
        <w:tc>
          <w:tcPr>
            <w:tcW w:type="dxa" w:w="31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Tiempo (FP16)</w:t>
            </w:r>
          </w:p>
        </w:tc>
        <w:tc>
          <w:tcPr>
            <w:tcW w:type="dxa" w:w="31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Tiempo (INT8 est.)</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Preprocesamiento (resize, norm, CHW)</w:t>
            </w:r>
          </w:p>
        </w:tc>
        <w:tc>
          <w:tcPr>
            <w:tcW w:type="dxa" w:w="31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~2–3ms (CPU)</w:t>
            </w:r>
          </w:p>
        </w:tc>
        <w:tc>
          <w:tcPr>
            <w:tcW w:type="dxa" w:w="31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~2–3ms (CPU)</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Inferencia GPU (TensorRT)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~7–8ms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~3–4ms</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Post-procesamiento (NMS)</w:t>
            </w:r>
          </w:p>
        </w:tc>
        <w:tc>
          <w:tcPr>
            <w:tcW w:type="dxa" w:w="31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~1–2ms (CPU)</w:t>
            </w:r>
          </w:p>
        </w:tc>
        <w:tc>
          <w:tcPr>
            <w:tcW w:type="dxa" w:w="31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~1–2ms (CPU)</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Overhead (cola, formato)</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~1ms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~1ms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TOTAL PIPELINE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~11–14ms (≈75 FPS)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~7–10ms (≈110 FPS)</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C0392B"/>
          <w:sz w:val="22"/>
          <w:szCs w:val="22"/>
        </w:rPr>
        <w:t xml:space="preserve">Observación crítica: El pipeline de inferencia podría procesar ~75–110 FPS, pero la cámara está configurada a 35 FPS (FRAME_RATE = 35 en settings.py). Este es el cuello de botella principal actual.</w:t>
      </w:r>
    </w:p>
    <w:p>
      <w:pPr>
        <w:pStyle w:val="Heading2"/>
        <w:spacing w:after="150" w:before="300"/>
      </w:pPr>
      <w:r>
        <w:rPr>
          <w:rFonts w:ascii="Arial" w:cs="Arial" w:eastAsia="Arial" w:hAnsi="Arial"/>
        </w:rPr>
        <w:t xml:space="preserve">2.3 Análisis del Conteo de Bulbos</w:t>
      </w:r>
    </w:p>
    <w:p>
      <w:pPr>
        <w:spacing w:after="120"/>
        <w:jc w:val="left"/>
      </w:pPr>
      <w:r>
        <w:rPr>
          <w:rFonts w:ascii="Arial" w:cs="Arial" w:eastAsia="Arial" w:hAnsi="Arial"/>
          <w:b w:val="false"/>
          <w:bCs w:val="false"/>
          <w:i w:val="false"/>
          <w:iCs w:val="false"/>
          <w:color w:val="333333"/>
          <w:sz w:val="22"/>
          <w:szCs w:val="22"/>
        </w:rPr>
        <w:t xml:space="preserve">El sistema cuenta bulbos mediante cruce de línea virtual (LINE_P1 a LINE_P2 en y=350). Un bulbo se cuenta cuando su centroide cruza esta línea, requiriendo SORT_MIN_HITS=3 detecciones consecutivas mínimas.</w:t>
      </w:r>
    </w:p>
    <w:p>
      <w:pPr>
        <w:spacing w:after="120"/>
        <w:jc w:val="left"/>
      </w:pPr>
      <w:r>
        <w:rPr>
          <w:rFonts w:ascii="Arial" w:cs="Arial" w:eastAsia="Arial" w:hAnsi="Arial"/>
          <w:b w:val="false"/>
          <w:bCs w:val="false"/>
          <w:i w:val="false"/>
          <w:iCs w:val="false"/>
          <w:color w:val="333333"/>
          <w:sz w:val="22"/>
          <w:szCs w:val="22"/>
        </w:rPr>
        <w:t xml:space="preserve">A 45 FPS y 25 bulbos/segundo, cada bulbo necesita ~3 frames para ser rastreado (67ms mínimo de visibilidad). Esto implica:</w:t>
      </w:r>
    </w:p>
    <w:p>
      <w:pPr>
        <w:pStyle w:val="ListParagraph"/>
        <w:numPr>
          <w:ilvl w:val="0"/>
          <w:numId w:val="2"/>
        </w:numPr>
        <w:spacing w:after="80"/>
      </w:pPr>
      <w:r>
        <w:rPr>
          <w:rFonts w:ascii="Arial" w:cs="Arial" w:eastAsia="Arial" w:hAnsi="Arial"/>
          <w:color w:val="333333"/>
          <w:sz w:val="22"/>
          <w:szCs w:val="22"/>
        </w:rPr>
        <w:t xml:space="preserve">Velocidad de cinta estimada: si el FOV vertical útil es ~30cm en la línea de conteo, v ≤ 450 cm/s</w:t>
      </w:r>
    </w:p>
    <w:p>
      <w:pPr>
        <w:pStyle w:val="ListParagraph"/>
        <w:numPr>
          <w:ilvl w:val="0"/>
          <w:numId w:val="2"/>
        </w:numPr>
        <w:spacing w:after="80"/>
      </w:pPr>
      <w:r>
        <w:rPr>
          <w:rFonts w:ascii="Arial" w:cs="Arial" w:eastAsia="Arial" w:hAnsi="Arial"/>
          <w:color w:val="333333"/>
          <w:sz w:val="22"/>
          <w:szCs w:val="22"/>
        </w:rPr>
        <w:t xml:space="preserve">Densidad lineal: ~0.55 bulbos cruzan la línea por frame</w:t>
      </w:r>
    </w:p>
    <w:p>
      <w:pPr>
        <w:pStyle w:val="ListParagraph"/>
        <w:numPr>
          <w:ilvl w:val="0"/>
          <w:numId w:val="2"/>
        </w:numPr>
        <w:spacing w:after="80"/>
      </w:pPr>
      <w:r>
        <w:rPr>
          <w:rFonts w:ascii="Arial" w:cs="Arial" w:eastAsia="Arial" w:hAnsi="Arial"/>
          <w:color w:val="333333"/>
          <w:sz w:val="22"/>
          <w:szCs w:val="22"/>
        </w:rPr>
        <w:t xml:space="preserve">Para aumentar bulbos/s se requiere: mayor FPS + mayor velocidad de cinta + detección confiable a alta velocidad</w:t>
      </w:r>
    </w:p>
    <w:p>
      <w:r>
        <w:br w:type="page"/>
      </w:r>
    </w:p>
    <w:p>
      <w:pPr>
        <w:pStyle w:val="Heading1"/>
        <w:spacing w:after="150" w:before="300"/>
      </w:pPr>
      <w:r>
        <w:rPr>
          <w:rFonts w:ascii="Arial" w:cs="Arial" w:eastAsia="Arial" w:hAnsi="Arial"/>
        </w:rPr>
        <w:t xml:space="preserve">3. Tope Máximo Teórico en AGX Orin</w:t>
      </w:r>
    </w:p>
    <w:p>
      <w:pPr>
        <w:pStyle w:val="Heading2"/>
        <w:spacing w:after="150" w:before="300"/>
      </w:pPr>
      <w:r>
        <w:rPr>
          <w:rFonts w:ascii="Arial" w:cs="Arial" w:eastAsia="Arial" w:hAnsi="Arial"/>
        </w:rPr>
        <w:t xml:space="preserve">3.1 Optimizaciones de Software Propuestas</w:t>
      </w:r>
    </w:p>
    <w:p>
      <w:pPr>
        <w:spacing w:after="120"/>
        <w:jc w:val="left"/>
      </w:pPr>
      <w:r>
        <w:rPr>
          <w:rFonts w:ascii="Arial" w:cs="Arial" w:eastAsia="Arial" w:hAnsi="Arial"/>
          <w:b/>
          <w:bCs/>
          <w:i w:val="false"/>
          <w:iCs w:val="false"/>
          <w:color w:val="1B4F72"/>
          <w:sz w:val="22"/>
          <w:szCs w:val="22"/>
        </w:rPr>
        <w:t xml:space="preserve">Optimización 1 — Engine TensorRT Nativo con INT8</w:t>
      </w:r>
    </w:p>
    <w:p>
      <w:pPr>
        <w:spacing w:after="120"/>
        <w:jc w:val="left"/>
      </w:pPr>
      <w:r>
        <w:rPr>
          <w:rFonts w:ascii="Arial" w:cs="Arial" w:eastAsia="Arial" w:hAnsi="Arial"/>
          <w:b w:val="false"/>
          <w:bCs w:val="false"/>
          <w:i w:val="false"/>
          <w:iCs w:val="false"/>
          <w:color w:val="333333"/>
          <w:sz w:val="22"/>
          <w:szCs w:val="22"/>
        </w:rPr>
        <w:t xml:space="preserve">Actualmente se usa ONNX Runtime con TensorRT ExecutionProvider en FP16. El sistema ya tiene build_int8_engine.py para generar engines INT8 con calibración por entropía. Migrar a un engine .engine nativo con INT8 reduciría la latencia de inferencia de ~7–8ms a ~3–4ms, ganando un ~2x en throughput de GPU.</w:t>
      </w:r>
    </w:p>
    <w:p>
      <w:pPr>
        <w:spacing w:after="120"/>
        <w:jc w:val="left"/>
      </w:pPr>
      <w:r>
        <w:rPr>
          <w:rFonts w:ascii="Arial" w:cs="Arial" w:eastAsia="Arial" w:hAnsi="Arial"/>
          <w:b/>
          <w:bCs/>
          <w:i w:val="false"/>
          <w:iCs w:val="false"/>
          <w:color w:val="1B4F72"/>
          <w:sz w:val="22"/>
          <w:szCs w:val="22"/>
        </w:rPr>
        <w:t xml:space="preserve">Optimización 2 — Aumentar FPS de Cámara</w:t>
      </w:r>
    </w:p>
    <w:p>
      <w:pPr>
        <w:spacing w:after="120"/>
        <w:jc w:val="left"/>
      </w:pPr>
      <w:r>
        <w:rPr>
          <w:rFonts w:ascii="Arial" w:cs="Arial" w:eastAsia="Arial" w:hAnsi="Arial"/>
          <w:b w:val="false"/>
          <w:bCs w:val="false"/>
          <w:i w:val="false"/>
          <w:iCs w:val="false"/>
          <w:color w:val="333333"/>
          <w:sz w:val="22"/>
          <w:szCs w:val="22"/>
        </w:rPr>
        <w:t xml:space="preserve">FRAME_RATE está en 35. Las cámaras GigE industriales típicamente soportan 60–120 FPS a 1080p. Aumentar a 60–90 FPS daría más frames para tracking y permitiría cintas más rápidas. Con INT8, el pipeline soportaría hasta ~100 FPS sin problema.</w:t>
      </w:r>
    </w:p>
    <w:p>
      <w:pPr>
        <w:spacing w:after="120"/>
        <w:jc w:val="left"/>
      </w:pPr>
      <w:r>
        <w:rPr>
          <w:rFonts w:ascii="Arial" w:cs="Arial" w:eastAsia="Arial" w:hAnsi="Arial"/>
          <w:b/>
          <w:bCs/>
          <w:i w:val="false"/>
          <w:iCs w:val="false"/>
          <w:color w:val="1B4F72"/>
          <w:sz w:val="22"/>
          <w:szCs w:val="22"/>
        </w:rPr>
        <w:t xml:space="preserve">Optimización 3 — Reducir Resolución de Inferencia</w:t>
      </w:r>
    </w:p>
    <w:p>
      <w:pPr>
        <w:spacing w:after="120"/>
        <w:jc w:val="left"/>
      </w:pPr>
      <w:r>
        <w:rPr>
          <w:rFonts w:ascii="Arial" w:cs="Arial" w:eastAsia="Arial" w:hAnsi="Arial"/>
          <w:b w:val="false"/>
          <w:bCs w:val="false"/>
          <w:i w:val="false"/>
          <w:iCs w:val="false"/>
          <w:color w:val="333333"/>
          <w:sz w:val="22"/>
          <w:szCs w:val="22"/>
        </w:rPr>
        <w:t xml:space="preserve">Si los bulbos son suficientemente grandes en la imagen, reducir la entrada de 640×640 a 416×416 o 320×320 reduciría la latencia de inferencia en ~40–60%, a costa de precisión en objetos pequeños. Para bulbos de tamaño considerable, 416×416 debería ser suficiente.</w:t>
      </w:r>
    </w:p>
    <w:p>
      <w:pPr>
        <w:spacing w:after="120"/>
        <w:jc w:val="left"/>
      </w:pPr>
      <w:r>
        <w:rPr>
          <w:rFonts w:ascii="Arial" w:cs="Arial" w:eastAsia="Arial" w:hAnsi="Arial"/>
          <w:b/>
          <w:bCs/>
          <w:i w:val="false"/>
          <w:iCs w:val="false"/>
          <w:color w:val="1B4F72"/>
          <w:sz w:val="22"/>
          <w:szCs w:val="22"/>
        </w:rPr>
        <w:t xml:space="preserve">Optimización 4 — Pipeline con DeepStream</w:t>
      </w:r>
    </w:p>
    <w:p>
      <w:pPr>
        <w:spacing w:after="120"/>
        <w:jc w:val="left"/>
      </w:pPr>
      <w:r>
        <w:rPr>
          <w:rFonts w:ascii="Arial" w:cs="Arial" w:eastAsia="Arial" w:hAnsi="Arial"/>
          <w:b w:val="false"/>
          <w:bCs w:val="false"/>
          <w:i w:val="false"/>
          <w:iCs w:val="false"/>
          <w:color w:val="333333"/>
          <w:sz w:val="22"/>
          <w:szCs w:val="22"/>
        </w:rPr>
        <w:t xml:space="preserve">NVIDIA DeepStream SDK permite pipelines zero-copy donde los frames nunca salen de la GPU (captura → resize → inferencia → tracking en GPU). Esto elimina las copias CPU↔GPU que el pipeline actual realiza en cada frame y puede agregar un 20–30% de mejora en throughput total.</w:t>
      </w:r>
    </w:p>
    <w:p>
      <w:pPr>
        <w:spacing w:after="120"/>
        <w:jc w:val="left"/>
      </w:pPr>
      <w:r>
        <w:rPr>
          <w:rFonts w:ascii="Arial" w:cs="Arial" w:eastAsia="Arial" w:hAnsi="Arial"/>
          <w:b/>
          <w:bCs/>
          <w:i w:val="false"/>
          <w:iCs w:val="false"/>
          <w:color w:val="1B4F72"/>
          <w:sz w:val="22"/>
          <w:szCs w:val="22"/>
        </w:rPr>
        <w:t xml:space="preserve">Optimización 5 — Reducir SORT_MIN_HITS</w:t>
      </w:r>
    </w:p>
    <w:p>
      <w:pPr>
        <w:spacing w:after="120"/>
        <w:jc w:val="left"/>
      </w:pPr>
      <w:r>
        <w:rPr>
          <w:rFonts w:ascii="Arial" w:cs="Arial" w:eastAsia="Arial" w:hAnsi="Arial"/>
          <w:b w:val="false"/>
          <w:bCs w:val="false"/>
          <w:i w:val="false"/>
          <w:iCs w:val="false"/>
          <w:color w:val="333333"/>
          <w:sz w:val="22"/>
          <w:szCs w:val="22"/>
        </w:rPr>
        <w:t xml:space="preserve">Reducir SORT_MIN_HITS de 3 a 2 permite contar bulbos con solo 2 detecciones consecutivas, reduciendo el tiempo mínimo de visibilidad de 67ms a 44ms (a 45 FPS). Esto permite cintas más rápidas, pero aumenta ligeramente los falsos positivos.</w:t>
      </w:r>
    </w:p>
    <w:p>
      <w:pPr>
        <w:spacing w:after="120"/>
        <w:jc w:val="left"/>
      </w:pPr>
      <w:r>
        <w:rPr>
          <w:rFonts w:ascii="Arial" w:cs="Arial" w:eastAsia="Arial" w:hAnsi="Arial"/>
          <w:b/>
          <w:bCs/>
          <w:i w:val="false"/>
          <w:iCs w:val="false"/>
          <w:color w:val="1B4F72"/>
          <w:sz w:val="22"/>
          <w:szCs w:val="22"/>
        </w:rPr>
        <w:t xml:space="preserve">Optimización 6 — Pre-procesamiento en GPU (CUDA)</w:t>
      </w:r>
    </w:p>
    <w:p>
      <w:pPr>
        <w:spacing w:after="120"/>
        <w:jc w:val="left"/>
      </w:pPr>
      <w:r>
        <w:rPr>
          <w:rFonts w:ascii="Arial" w:cs="Arial" w:eastAsia="Arial" w:hAnsi="Arial"/>
          <w:b w:val="false"/>
          <w:bCs w:val="false"/>
          <w:i w:val="false"/>
          <w:iCs w:val="false"/>
          <w:color w:val="333333"/>
          <w:sz w:val="22"/>
          <w:szCs w:val="22"/>
        </w:rPr>
        <w:t xml:space="preserve">El resize y normalización actualmente se hace en CPU con OpenCV (~2–3ms). Moverlo a GPU con CUDA o cv2.cuda reduce esto a &lt;0.5ms y elimina transfers innecesarios.</w:t>
      </w:r>
    </w:p>
    <w:p>
      <w:pPr>
        <w:pStyle w:val="Heading2"/>
        <w:spacing w:after="150" w:before="300"/>
      </w:pPr>
      <w:r>
        <w:rPr>
          <w:rFonts w:ascii="Arial" w:cs="Arial" w:eastAsia="Arial" w:hAnsi="Arial"/>
        </w:rPr>
        <w:t xml:space="preserve">3.2 Estimación de Máximo Teórico — AGX Orin Optimizado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Escenario</w:t>
            </w:r>
          </w:p>
        </w:tc>
        <w:tc>
          <w:tcPr>
            <w:tcW w:type="dxa" w:w="293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FPS Estimado</w:t>
            </w:r>
          </w:p>
        </w:tc>
        <w:tc>
          <w:tcPr>
            <w:tcW w:type="dxa" w:w="293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Bulbos/s Est.</w:t>
            </w:r>
          </w:p>
        </w:tc>
      </w:tr>
      <w:tr>
        <w:tc>
          <w:tcPr>
            <w:tcW w:type="dxa" w:w="3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Actual (FP16, 35 FPS cam, batch=1)</w:t>
            </w:r>
          </w:p>
        </w:tc>
        <w:tc>
          <w:tcPr>
            <w:tcW w:type="dxa" w:w="293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~45</w:t>
            </w:r>
          </w:p>
        </w:tc>
        <w:tc>
          <w:tcPr>
            <w:tcW w:type="dxa" w:w="293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INT8 engine nativo</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~45 (cam-limited)</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w:t>
            </w:r>
          </w:p>
        </w:tc>
      </w:tr>
      <w:tr>
        <w:tc>
          <w:tcPr>
            <w:tcW w:type="dxa" w:w="3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INT8 + Cámara 60 FPS</w:t>
            </w:r>
          </w:p>
        </w:tc>
        <w:tc>
          <w:tcPr>
            <w:tcW w:type="dxa" w:w="293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~60</w:t>
            </w:r>
          </w:p>
        </w:tc>
        <w:tc>
          <w:tcPr>
            <w:tcW w:type="dxa" w:w="293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~33–35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INT8 + Cam 90 FPS + GPU preproc</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~85–90</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~47–50</w:t>
            </w:r>
          </w:p>
        </w:tc>
      </w:tr>
      <w:tr>
        <w:tc>
          <w:tcPr>
            <w:tcW w:type="dxa" w:w="3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INT8 + DeepStream + 120 FPS cam</w:t>
            </w:r>
          </w:p>
        </w:tc>
        <w:tc>
          <w:tcPr>
            <w:tcW w:type="dxa" w:w="293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~100–110</w:t>
            </w:r>
          </w:p>
        </w:tc>
        <w:tc>
          <w:tcPr>
            <w:tcW w:type="dxa" w:w="293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~55–65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4F72"/>
                <w:sz w:val="20"/>
                <w:szCs w:val="20"/>
              </w:rPr>
              <w:t xml:space="preserve">MÁXIMO TEÓRICO (todo optimizado, 416px)</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4F72"/>
                <w:sz w:val="20"/>
                <w:szCs w:val="20"/>
              </w:rPr>
              <w:t xml:space="preserve">~130–150</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B4F72"/>
                <w:sz w:val="20"/>
                <w:szCs w:val="20"/>
              </w:rPr>
              <w:t xml:space="preserve">~70–85</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val="false"/>
          <w:bCs w:val="false"/>
          <w:i/>
          <w:iCs/>
          <w:color w:val="333333"/>
          <w:sz w:val="22"/>
          <w:szCs w:val="22"/>
        </w:rPr>
        <w:t xml:space="preserve">Nota: Los bulbos/s asumen que la velocidad de cinta se incrementa proporcionalmente al FPS y que la densidad de bulbos se mantiene constante (~0.55 bulbos/frame). El límite físico real dependerá de la velocidad máxima de la cinta y la separación entre bulbos.</w:t>
      </w:r>
    </w:p>
    <w:p>
      <w:r>
        <w:br w:type="page"/>
      </w:r>
    </w:p>
    <w:p>
      <w:pPr>
        <w:pStyle w:val="Heading1"/>
        <w:spacing w:after="150" w:before="300"/>
      </w:pPr>
      <w:r>
        <w:rPr>
          <w:rFonts w:ascii="Arial" w:cs="Arial" w:eastAsia="Arial" w:hAnsi="Arial"/>
        </w:rPr>
        <w:t xml:space="preserve">4. Comparativa de Dispositivos</w:t>
      </w:r>
    </w:p>
    <w:p>
      <w:pPr>
        <w:pStyle w:val="Heading2"/>
        <w:spacing w:after="150" w:before="300"/>
      </w:pPr>
      <w:r>
        <w:rPr>
          <w:rFonts w:ascii="Arial" w:cs="Arial" w:eastAsia="Arial" w:hAnsi="Arial"/>
        </w:rPr>
        <w:t xml:space="preserve">4.1 Especificaciones Técnicas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Especificación</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AGX Orin 64GB</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Jetson Thor</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DGX Spark</w:t>
            </w:r>
          </w:p>
        </w:tc>
      </w:tr>
      <w:tr>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GPU</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Ampere (2048 CUDA)</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Blackwell (MIG)</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Blackwell GB10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AI Performance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275 TOPS (INT8 sparse)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2070 TFLOPS (FP4)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1000 TOPS / 1 PFLOP FP4</w:t>
            </w:r>
          </w:p>
        </w:tc>
      </w:tr>
      <w:tr>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INT8 GPU TOPS</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170 TOPS (sparse)</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~800+ TOPS (est.)</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 TOPS (est.)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Memoria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64 GB LPDDR5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128 GB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128 GB LPDDR5x</w:t>
            </w:r>
          </w:p>
        </w:tc>
      </w:tr>
      <w:tr>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BW Memoria</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204 GB/s</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~400+ GB/s</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273 GB/s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CPU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12-core Arm Cortex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14-core Neoverse V3AE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20-core Neoverse V2</w:t>
            </w:r>
          </w:p>
        </w:tc>
      </w:tr>
      <w:tr>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Potencia</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15–60W</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40–130W</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~70–100W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Form Factor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Módulo embebido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Módulo embebido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Desktop (mini-PC)</w:t>
            </w:r>
          </w:p>
        </w:tc>
      </w:tr>
      <w:tr>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Precio Est.</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~$1,500–$2,000</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~$3,000–$5,000 (est.)</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$3,999</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I/O Industrial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GigE, CSI, USB, GPIO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GigE, CSI, USB, GPIO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USB, Ethernet (limitado)</w:t>
            </w:r>
          </w:p>
        </w:tc>
      </w:tr>
      <w:tr>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Diseñado para</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Edge AI / Robótica</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Edge AI / Robótica</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LLM / IA Generativa</w:t>
            </w:r>
          </w:p>
        </w:tc>
      </w:tr>
    </w:tbl>
    <w:p>
      <w:pPr>
        <w:pStyle w:val="Heading2"/>
        <w:spacing w:after="150" w:before="300"/>
      </w:pPr>
      <w:r>
        <w:rPr>
          <w:rFonts w:ascii="Arial" w:cs="Arial" w:eastAsia="Arial" w:hAnsi="Arial"/>
        </w:rPr>
        <w:t xml:space="preserve">4.2 Rendimiento Teórico para Visión Industrial</w:t>
      </w:r>
    </w:p>
    <w:p>
      <w:pPr>
        <w:spacing w:after="120"/>
        <w:jc w:val="left"/>
      </w:pPr>
      <w:r>
        <w:rPr>
          <w:rFonts w:ascii="Arial" w:cs="Arial" w:eastAsia="Arial" w:hAnsi="Arial"/>
          <w:b w:val="false"/>
          <w:bCs w:val="false"/>
          <w:i w:val="false"/>
          <w:iCs w:val="false"/>
          <w:color w:val="333333"/>
          <w:sz w:val="22"/>
          <w:szCs w:val="22"/>
        </w:rPr>
        <w:t xml:space="preserve">Para estimar el rendimiento en el caso de uso específico de Qualiblick (YOLOv8, 640×640, detección de bulbos, pipeline completo), aplicamos factores de escala basados en los TOPS relativos y benchmarks publicados:</w:t>
      </w:r>
    </w:p>
    <w:p>
      <w:pPr>
        <w:pStyle w:val="Heading3"/>
        <w:spacing w:after="150" w:before="300"/>
      </w:pPr>
      <w:r>
        <w:rPr>
          <w:rFonts w:ascii="Arial" w:cs="Arial" w:eastAsia="Arial" w:hAnsi="Arial"/>
        </w:rPr>
        <w:t xml:space="preserve">4.2.1 Jetson AGX Orin (Optimizado)</w:t>
      </w:r>
    </w:p>
    <w:p>
      <w:pPr>
        <w:spacing w:after="120"/>
        <w:jc w:val="left"/>
      </w:pPr>
      <w:r>
        <w:rPr>
          <w:rFonts w:ascii="Arial" w:cs="Arial" w:eastAsia="Arial" w:hAnsi="Arial"/>
          <w:b w:val="false"/>
          <w:bCs w:val="false"/>
          <w:i w:val="false"/>
          <w:iCs w:val="false"/>
          <w:color w:val="333333"/>
          <w:sz w:val="22"/>
          <w:szCs w:val="22"/>
        </w:rPr>
        <w:t xml:space="preserve">Benchmark base: YOLOv8s en INT8 a 640×640 logra ~3.2ms de inferencia pura (~313 FPS de modelo). Con pipeline completo (pre/post/tracking/colas), se estima un rendimiento real de 100–150 FPS end-to-end con todas las optimizaciones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Métrica</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Actual</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Optimizado (Máx.)</w:t>
            </w:r>
          </w:p>
        </w:tc>
      </w:tr>
      <w:tr>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Inferencia pura</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~10–15ms (FP16)</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~3.2ms (INT8)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Pipeline end-to-end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~45 FPS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~130–150 FPS</w:t>
            </w:r>
          </w:p>
        </w:tc>
      </w:tr>
      <w:tr>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Bulbos/segundo</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~25</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~70–85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Mejora vs actual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1.0x (baseline)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20"/>
                <w:szCs w:val="20"/>
              </w:rPr>
              <w:t xml:space="preserve">2.8–3.4x</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3"/>
        <w:spacing w:after="150" w:before="300"/>
      </w:pPr>
      <w:r>
        <w:rPr>
          <w:rFonts w:ascii="Arial" w:cs="Arial" w:eastAsia="Arial" w:hAnsi="Arial"/>
        </w:rPr>
        <w:t xml:space="preserve">4.2.2 Jetson Thor</w:t>
      </w:r>
    </w:p>
    <w:p>
      <w:pPr>
        <w:spacing w:after="120"/>
        <w:jc w:val="left"/>
      </w:pPr>
      <w:r>
        <w:rPr>
          <w:rFonts w:ascii="Arial" w:cs="Arial" w:eastAsia="Arial" w:hAnsi="Arial"/>
          <w:b w:val="false"/>
          <w:bCs w:val="false"/>
          <w:i w:val="false"/>
          <w:iCs w:val="false"/>
          <w:color w:val="333333"/>
          <w:sz w:val="22"/>
          <w:szCs w:val="22"/>
        </w:rPr>
        <w:t xml:space="preserve">Con 7.5x el compute de IA vs Orin, el Thor basado en Blackwell ofrece una mejora dramática. Benchmarks publicados muestran 3.5–4.9x de ganancia real en tareas de detección de objetos. Para nuestro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Métrica</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Conservador (3.5x)</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Optimista (5x)</w:t>
            </w:r>
          </w:p>
        </w:tc>
      </w:tr>
      <w:tr>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Inferencia pura (INT8/FP8)</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~0.9ms</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~0.6ms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Pipeline end-to-end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~200–250 FPS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~300–400 FPS</w:t>
            </w:r>
          </w:p>
        </w:tc>
      </w:tr>
      <w:tr>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Bulbos/segundo</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~110–140</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~170–220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Mejora vs Orin actual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20"/>
                <w:szCs w:val="20"/>
              </w:rPr>
              <w:t xml:space="preserve">4.4–5.6x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20"/>
                <w:szCs w:val="20"/>
              </w:rPr>
              <w:t xml:space="preserve">6.8–8.8x</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val="false"/>
          <w:bCs w:val="false"/>
          <w:i w:val="false"/>
          <w:iCs w:val="false"/>
          <w:color w:val="333333"/>
          <w:sz w:val="22"/>
          <w:szCs w:val="22"/>
        </w:rPr>
        <w:t xml:space="preserve">Ventajas adicionales del Thor: PVA de 3ra generación (acelerador de visión programable), encoders/decoders de video dedicados, acelerador de flujo óptico, soporte MIG para correr múltiples modelos simultáneamente, y compatibilidad directa con cámaras GigE e interfaces industriales.</w:t>
      </w:r>
    </w:p>
    <w:p>
      <w:pPr>
        <w:pStyle w:val="Heading3"/>
        <w:spacing w:after="150" w:before="300"/>
      </w:pPr>
      <w:r>
        <w:rPr>
          <w:rFonts w:ascii="Arial" w:cs="Arial" w:eastAsia="Arial" w:hAnsi="Arial"/>
        </w:rPr>
        <w:t xml:space="preserve">4.2.3 DGX Spark</w:t>
      </w:r>
    </w:p>
    <w:p>
      <w:pPr>
        <w:spacing w:after="120"/>
        <w:jc w:val="left"/>
      </w:pPr>
      <w:r>
        <w:rPr>
          <w:rFonts w:ascii="Arial" w:cs="Arial" w:eastAsia="Arial" w:hAnsi="Arial"/>
          <w:b w:val="false"/>
          <w:bCs w:val="false"/>
          <w:i w:val="false"/>
          <w:iCs w:val="false"/>
          <w:color w:val="333333"/>
          <w:sz w:val="22"/>
          <w:szCs w:val="22"/>
        </w:rPr>
        <w:t xml:space="preserve">El DGX Spark es un dispositivo diseñado primariamente para LLMs e IA generativa, no para visión industrial en el edge. Aunque tiene 1000 TOPS y un PFLOP en FP4, presenta limitaciones significativas para este caso de uso:</w:t>
      </w:r>
    </w:p>
    <w:p>
      <w:pPr>
        <w:pStyle w:val="ListParagraph"/>
        <w:numPr>
          <w:ilvl w:val="0"/>
          <w:numId w:val="2"/>
        </w:numPr>
        <w:spacing w:after="80"/>
      </w:pPr>
      <w:r>
        <w:rPr>
          <w:rFonts w:ascii="Arial" w:cs="Arial" w:eastAsia="Arial" w:hAnsi="Arial"/>
          <w:color w:val="333333"/>
          <w:sz w:val="22"/>
          <w:szCs w:val="22"/>
        </w:rPr>
        <w:t xml:space="preserve">Memoria LPDDR5x compartida CPU/GPU con solo 273 GB/s de ancho de banda (vs HBM en GPUs dedicadas)</w:t>
      </w:r>
    </w:p>
    <w:p>
      <w:pPr>
        <w:pStyle w:val="ListParagraph"/>
        <w:numPr>
          <w:ilvl w:val="0"/>
          <w:numId w:val="2"/>
        </w:numPr>
        <w:spacing w:after="80"/>
      </w:pPr>
      <w:r>
        <w:rPr>
          <w:rFonts w:ascii="Arial" w:cs="Arial" w:eastAsia="Arial" w:hAnsi="Arial"/>
          <w:color w:val="333333"/>
          <w:sz w:val="22"/>
          <w:szCs w:val="22"/>
        </w:rPr>
        <w:t xml:space="preserve">Sin interfaces industriales nativas (no hay GigE Vision, CSI, GPIO)</w:t>
      </w:r>
    </w:p>
    <w:p>
      <w:pPr>
        <w:pStyle w:val="ListParagraph"/>
        <w:numPr>
          <w:ilvl w:val="0"/>
          <w:numId w:val="2"/>
        </w:numPr>
        <w:spacing w:after="80"/>
      </w:pPr>
      <w:r>
        <w:rPr>
          <w:rFonts w:ascii="Arial" w:cs="Arial" w:eastAsia="Arial" w:hAnsi="Arial"/>
          <w:color w:val="333333"/>
          <w:sz w:val="22"/>
          <w:szCs w:val="22"/>
        </w:rPr>
        <w:t xml:space="preserve">Form factor de escritorio, no embebido — difícil de instalar en línea de producción</w:t>
      </w:r>
    </w:p>
    <w:p>
      <w:pPr>
        <w:pStyle w:val="ListParagraph"/>
        <w:numPr>
          <w:ilvl w:val="0"/>
          <w:numId w:val="2"/>
        </w:numPr>
        <w:spacing w:after="80"/>
      </w:pPr>
      <w:r>
        <w:rPr>
          <w:rFonts w:ascii="Arial" w:cs="Arial" w:eastAsia="Arial" w:hAnsi="Arial"/>
          <w:color w:val="333333"/>
          <w:sz w:val="22"/>
          <w:szCs w:val="22"/>
        </w:rPr>
        <w:t xml:space="preserve">Stack de software optimizado para NIM/LLM, no para DeepStream/visión industrial</w:t>
      </w:r>
    </w:p>
    <w:p>
      <w:pPr>
        <w:pStyle w:val="ListParagraph"/>
        <w:numPr>
          <w:ilvl w:val="0"/>
          <w:numId w:val="2"/>
        </w:numPr>
        <w:spacing w:after="80"/>
      </w:pPr>
      <w:r>
        <w:rPr>
          <w:rFonts w:ascii="Arial" w:cs="Arial" w:eastAsia="Arial" w:hAnsi="Arial"/>
          <w:color w:val="333333"/>
          <w:sz w:val="22"/>
          <w:szCs w:val="22"/>
        </w:rPr>
        <w:t xml:space="preserve">Sin aceleradores de visión dedicados (PVA, encoders de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Métrica</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Conservador</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Optimista</w:t>
            </w:r>
          </w:p>
        </w:tc>
      </w:tr>
      <w:tr>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Inferencia pura (INT8)</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~1.5–2ms</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Pipeline end-to-end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~150–200 FPS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~250–300 FPS</w:t>
            </w:r>
          </w:p>
        </w:tc>
      </w:tr>
      <w:tr>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Bulbos/segundo</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~80–110</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~140–170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Mejora vs Orin actual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3.2–4.4x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5.6–6.8x</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C0392B"/>
          <w:sz w:val="22"/>
          <w:szCs w:val="22"/>
        </w:rPr>
        <w:t xml:space="preserve">ADVERTENCIA: Estos números del DGX Spark son teóricos. En la práctica, el ancho de banda de memoria limitado (273 GB/s LPDDR5x compartida) y la falta de aceleradores de visión dedicados probablemente resulten en un rendimiento inferior al estimado optimista. Además, requeriría reescribir partes significativas del pipeline y no sería desplegable en la línea de producción de la misma manera.</w:t>
      </w:r>
    </w:p>
    <w:p>
      <w:r>
        <w:br w:type="page"/>
      </w:r>
    </w:p>
    <w:p>
      <w:pPr>
        <w:pStyle w:val="Heading1"/>
        <w:spacing w:after="150" w:before="300"/>
      </w:pPr>
      <w:r>
        <w:rPr>
          <w:rFonts w:ascii="Arial" w:cs="Arial" w:eastAsia="Arial" w:hAnsi="Arial"/>
        </w:rPr>
        <w:t xml:space="preserve">5. Tabla Comparativa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Orin (Actual)</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Orin (Optim.)</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Jetson Thor</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DGX Spark</w:t>
            </w:r>
          </w:p>
        </w:tc>
      </w:tr>
      <w:tr>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FPS Pipeline</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~45</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130–150</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200–400</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150–300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Bulbos/seg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25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86C1"/>
                <w:sz w:val="20"/>
                <w:szCs w:val="20"/>
              </w:rPr>
              <w:t xml:space="preserve">70–85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20"/>
                <w:szCs w:val="20"/>
              </w:rPr>
              <w:t xml:space="preserve">110–220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80–170</w:t>
            </w:r>
          </w:p>
        </w:tc>
      </w:tr>
      <w:tr>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Mejora</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1x</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2.8–3.4x</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27AE60"/>
                <w:sz w:val="20"/>
                <w:szCs w:val="20"/>
              </w:rPr>
              <w:t xml:space="preserve">4.4–8.8x</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3.2–6.8x</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Costo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 (existente)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20"/>
                <w:szCs w:val="20"/>
              </w:rPr>
              <w:t xml:space="preserve">$0–$500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~$3,000–$5,000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$3,999</w:t>
            </w:r>
          </w:p>
        </w:tc>
      </w:tr>
      <w:tr>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Deploy</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En producción</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2–4 semanas</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4–8 semanas</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Reescritura mayor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Riesgo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Bajo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20"/>
                <w:szCs w:val="20"/>
              </w:rPr>
              <w:t xml:space="preserve">Bajo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Medio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Alto</w:t>
            </w:r>
          </w:p>
        </w:tc>
      </w:tr>
      <w:tr>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Compatibilidad</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100%</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100%</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95% (Jetson SDK)</w:t>
            </w:r>
          </w:p>
        </w:tc>
        <w:tc>
          <w:tcPr>
            <w:tcW w:type="dxa" w:w="187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60–70% (rewrite)</w:t>
            </w:r>
          </w:p>
        </w:tc>
      </w:tr>
    </w:tbl>
    <w:p>
      <w:pPr>
        <w:pStyle w:val="Heading1"/>
        <w:spacing w:after="150" w:before="300"/>
      </w:pPr>
      <w:r>
        <w:rPr>
          <w:rFonts w:ascii="Arial" w:cs="Arial" w:eastAsia="Arial" w:hAnsi="Arial"/>
        </w:rPr>
        <w:t xml:space="preserve">6. Recomendaciones</w:t>
      </w:r>
    </w:p>
    <w:p>
      <w:pPr>
        <w:pStyle w:val="Heading2"/>
        <w:spacing w:after="150" w:before="300"/>
      </w:pPr>
      <w:r>
        <w:rPr>
          <w:rFonts w:ascii="Arial" w:cs="Arial" w:eastAsia="Arial" w:hAnsi="Arial"/>
        </w:rPr>
        <w:t xml:space="preserve">6.1 Estrategia Recomendada: Fases</w:t>
      </w:r>
    </w:p>
    <w:p>
      <w:pPr>
        <w:spacing w:after="120"/>
        <w:jc w:val="left"/>
      </w:pPr>
      <w:r>
        <w:rPr>
          <w:rFonts w:ascii="Arial" w:cs="Arial" w:eastAsia="Arial" w:hAnsi="Arial"/>
          <w:b/>
          <w:bCs/>
          <w:i w:val="false"/>
          <w:iCs w:val="false"/>
          <w:color w:val="1B4F72"/>
          <w:sz w:val="22"/>
          <w:szCs w:val="22"/>
        </w:rPr>
        <w:t xml:space="preserve">Fase 1 — Optimización inmediata del AGX Orin (0–4 semanas)</w:t>
      </w:r>
    </w:p>
    <w:p>
      <w:pPr>
        <w:spacing w:after="120"/>
        <w:jc w:val="left"/>
      </w:pPr>
      <w:r>
        <w:rPr>
          <w:rFonts w:ascii="Arial" w:cs="Arial" w:eastAsia="Arial" w:hAnsi="Arial"/>
          <w:b w:val="false"/>
          <w:bCs w:val="false"/>
          <w:i w:val="false"/>
          <w:iCs w:val="false"/>
          <w:color w:val="333333"/>
          <w:sz w:val="22"/>
          <w:szCs w:val="22"/>
        </w:rPr>
        <w:t xml:space="preserve">Sin costo adicional de hardware. Implementar las 6 optimizaciones de software descritas en la sección 3.1. Objetivo: pasar de 25 a 50–70 bulbos/segundo. Esta fase tiene el mejor ROI posible ya que no requiere inversión en hardware.</w:t>
      </w:r>
    </w:p>
    <w:p>
      <w:pPr>
        <w:pStyle w:val="ListParagraph"/>
        <w:numPr>
          <w:ilvl w:val="0"/>
          <w:numId w:val="3"/>
        </w:numPr>
        <w:spacing w:after="80"/>
      </w:pPr>
      <w:r>
        <w:rPr>
          <w:rFonts w:ascii="Arial" w:cs="Arial" w:eastAsia="Arial" w:hAnsi="Arial"/>
          <w:color w:val="333333"/>
          <w:sz w:val="22"/>
          <w:szCs w:val="22"/>
        </w:rPr>
        <w:t xml:space="preserve">Prioridad 1: Compilar engine INT8 nativo (ya tienen build_int8_engine.py)</w:t>
      </w:r>
    </w:p>
    <w:p>
      <w:pPr>
        <w:pStyle w:val="ListParagraph"/>
        <w:numPr>
          <w:ilvl w:val="0"/>
          <w:numId w:val="3"/>
        </w:numPr>
        <w:spacing w:after="80"/>
      </w:pPr>
      <w:r>
        <w:rPr>
          <w:rFonts w:ascii="Arial" w:cs="Arial" w:eastAsia="Arial" w:hAnsi="Arial"/>
          <w:color w:val="333333"/>
          <w:sz w:val="22"/>
          <w:szCs w:val="22"/>
        </w:rPr>
        <w:t xml:space="preserve">Prioridad 2: Aumentar FRAME_RATE de cámara GigE a 60–90 FPS</w:t>
      </w:r>
    </w:p>
    <w:p>
      <w:pPr>
        <w:pStyle w:val="ListParagraph"/>
        <w:numPr>
          <w:ilvl w:val="0"/>
          <w:numId w:val="3"/>
        </w:numPr>
        <w:spacing w:after="80"/>
      </w:pPr>
      <w:r>
        <w:rPr>
          <w:rFonts w:ascii="Arial" w:cs="Arial" w:eastAsia="Arial" w:hAnsi="Arial"/>
          <w:color w:val="333333"/>
          <w:sz w:val="22"/>
          <w:szCs w:val="22"/>
        </w:rPr>
        <w:t xml:space="preserve">Prioridad 3: Mover preprocesamiento a GPU (CUDA resize/normalize)</w:t>
      </w:r>
    </w:p>
    <w:p>
      <w:pPr>
        <w:pStyle w:val="ListParagraph"/>
        <w:numPr>
          <w:ilvl w:val="0"/>
          <w:numId w:val="3"/>
        </w:numPr>
        <w:spacing w:after="80"/>
      </w:pPr>
      <w:r>
        <w:rPr>
          <w:rFonts w:ascii="Arial" w:cs="Arial" w:eastAsia="Arial" w:hAnsi="Arial"/>
          <w:color w:val="333333"/>
          <w:sz w:val="22"/>
          <w:szCs w:val="22"/>
        </w:rPr>
        <w:t xml:space="preserve">Prioridad 4: Evaluar DeepStream SDK para pipeline zero-copy</w:t>
      </w:r>
    </w:p>
    <w:p>
      <w:pPr>
        <w:pStyle w:val="ListParagraph"/>
        <w:numPr>
          <w:ilvl w:val="0"/>
          <w:numId w:val="3"/>
        </w:numPr>
        <w:spacing w:after="80"/>
      </w:pPr>
      <w:r>
        <w:rPr>
          <w:rFonts w:ascii="Arial" w:cs="Arial" w:eastAsia="Arial" w:hAnsi="Arial"/>
          <w:color w:val="333333"/>
          <w:sz w:val="22"/>
          <w:szCs w:val="22"/>
        </w:rPr>
        <w:t xml:space="preserve">Prioridad 5: Experimentar con reducción de resolución (416×416) y SORT_MIN_HITS=2</w:t>
      </w:r>
    </w:p>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1B4F72"/>
          <w:sz w:val="22"/>
          <w:szCs w:val="22"/>
        </w:rPr>
        <w:t xml:space="preserve">Fase 2 — Evaluación de Jetson Thor (3–6 meses)</w:t>
      </w:r>
    </w:p>
    <w:p>
      <w:pPr>
        <w:spacing w:after="120"/>
        <w:jc w:val="left"/>
      </w:pPr>
      <w:r>
        <w:rPr>
          <w:rFonts w:ascii="Arial" w:cs="Arial" w:eastAsia="Arial" w:hAnsi="Arial"/>
          <w:b w:val="false"/>
          <w:bCs w:val="false"/>
          <w:i w:val="false"/>
          <w:iCs w:val="false"/>
          <w:color w:val="333333"/>
          <w:sz w:val="22"/>
          <w:szCs w:val="22"/>
        </w:rPr>
        <w:t xml:space="preserve">Si después de la Fase 1 el rendimiento sigue siendo insuficiente, el Jetson Thor es la opción clara de upgrade. Mantiene compatibilidad con el ecosistema Jetson (JetPack, DeepStream, TensorRT), soporta las mismas interfaces de cámara, y ofrece 4–9x de mejora real. Es el sucesor natural del AGX Orin para aplicaciones de visión industrial.</w:t>
      </w:r>
    </w:p>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C0392B"/>
          <w:sz w:val="22"/>
          <w:szCs w:val="22"/>
        </w:rPr>
        <w:t xml:space="preserve">NO recomendado: DGX Spark</w:t>
      </w:r>
    </w:p>
    <w:p>
      <w:pPr>
        <w:spacing w:after="120"/>
        <w:jc w:val="left"/>
      </w:pPr>
      <w:r>
        <w:rPr>
          <w:rFonts w:ascii="Arial" w:cs="Arial" w:eastAsia="Arial" w:hAnsi="Arial"/>
          <w:b w:val="false"/>
          <w:bCs w:val="false"/>
          <w:i w:val="false"/>
          <w:iCs w:val="false"/>
          <w:color w:val="333333"/>
          <w:sz w:val="22"/>
          <w:szCs w:val="22"/>
        </w:rPr>
        <w:t xml:space="preserve">El DGX Spark, a pesar de su impresionante cifra de 1 PFLOP, está diseñado para un caso de uso completamente diferente (inferencia de LLMs en escritorio). Sus limitaciones para visión industrial incluyen: falta de I/O industrial, form factor inadecuado para línea de producción, ancho de banda de memoria compartida limitado, ausencia de aceleradores de visión, y necesidad de reescribir el pipeline completo. No es una inversión justificable para este caso de uso.</w:t>
      </w:r>
    </w:p>
    <w:p>
      <w:pPr>
        <w:pStyle w:val="Heading2"/>
        <w:spacing w:after="150" w:before="300"/>
      </w:pPr>
      <w:r>
        <w:rPr>
          <w:rFonts w:ascii="Arial" w:cs="Arial" w:eastAsia="Arial" w:hAnsi="Arial"/>
        </w:rPr>
        <w:t xml:space="preserve">6.2 Resumen de Bulbos/Segundo Alcanzables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Escenario</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Bulbos/s</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Inversión</w:t>
            </w:r>
          </w:p>
        </w:tc>
      </w:tr>
      <w:tr>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Actual</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 (ya invertido)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Orin + INT8 + Cam 60FPS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86C1"/>
                <w:sz w:val="20"/>
                <w:szCs w:val="20"/>
              </w:rPr>
              <w:t xml:space="preserve">33–40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$0–$200</w:t>
            </w:r>
          </w:p>
        </w:tc>
      </w:tr>
      <w:tr>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Orin Full Optimization</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2E86C1"/>
                <w:sz w:val="20"/>
                <w:szCs w:val="20"/>
              </w:rPr>
              <w:t xml:space="preserve">70–85</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$0–$500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Jetson Thor (conservador)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20"/>
                <w:szCs w:val="20"/>
              </w:rPr>
              <w:t xml:space="preserve">110–140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$3,000–$5,000</w:t>
            </w:r>
          </w:p>
        </w:tc>
      </w:tr>
      <w:tr>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Jetson Thor (optimizado)</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170–220</w:t>
            </w:r>
          </w:p>
        </w:tc>
        <w:tc>
          <w:tcPr>
            <w:tcW w:type="dxa" w:w="312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$3,000–$5,000</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1B4F72"/>
          <w:sz w:val="22"/>
          <w:szCs w:val="22"/>
        </w:rPr>
        <w:t xml:space="preserve">Conclusión: Antes de invertir en hardware nuevo, exprimir al máximo la AGX Orin con optimizaciones de software puede triplicar el rendimiento actual. Si se requiere ir más allá, el Jetson Thor es la elección óptima para visión industrial, con el mejor balance de rendimiento, compatibilidad y costo-beneficio.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jc w:val="right"/>
    </w:pPr>
    <w:r>
      <w:rPr>
        <w:rFonts w:ascii="Arial" w:cs="Arial" w:eastAsia="Arial" w:hAnsi="Arial"/>
        <w:i/>
        <w:iCs/>
        <w:color w:val="888888"/>
        <w:sz w:val="18"/>
        <w:szCs w:val="18"/>
      </w:rPr>
      <w:t xml:space="preserve">Qualiblick — Evaluación de Hardware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2026-04-05T17:27:24.934Z</dcterms:created>
  <dcterms:modified xsi:type="dcterms:W3CDTF">2026-04-05T17:27:24.934Z</dcterms:modified>
</cp:coreProperties>
</file>

<file path=docProps/custom.xml><?xml version="1.0" encoding="utf-8"?>
<Properties xmlns="http://schemas.openxmlformats.org/officeDocument/2006/custom-properties" xmlns:vt="http://schemas.openxmlformats.org/officeDocument/2006/docPropsVTypes"/>
</file>