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Proofit — Progress Log, Phases 0–2</w:t>
      </w:r>
    </w:p>
    <w:p>
      <w:pPr>
        <w:spacing w:after="200"/>
      </w:pPr>
      <w:r>
        <w:rPr>
          <w:b/>
          <w:bCs/>
          <w:i w:val="false"/>
          <w:iCs w:val="false"/>
        </w:rPr>
        <w:t xml:space="preserve">Owner: </w:t>
      </w:r>
      <w:r>
        <w:rPr>
          <w:b w:val="false"/>
          <w:bCs w:val="false"/>
          <w:i w:val="false"/>
          <w:iCs w:val="false"/>
        </w:rPr>
        <w:t xml:space="preserve">Person B   ·   </w:t>
      </w:r>
      <w:r>
        <w:rPr>
          <w:b/>
          <w:bCs/>
          <w:i w:val="false"/>
          <w:iCs w:val="false"/>
        </w:rPr>
        <w:t xml:space="preserve">Compiled: </w:t>
      </w:r>
      <w:r>
        <w:rPr>
          <w:b w:val="false"/>
          <w:bCs w:val="false"/>
          <w:i w:val="false"/>
          <w:iCs w:val="false"/>
        </w:rPr>
        <w:t xml:space="preserve">15 Sep 2026   ·   </w:t>
      </w:r>
      <w:r>
        <w:rPr>
          <w:b/>
          <w:bCs/>
          <w:i w:val="false"/>
          <w:iCs w:val="false"/>
        </w:rPr>
        <w:t xml:space="preserve">Semester week: </w:t>
      </w:r>
      <w:r>
        <w:rPr>
          <w:b w:val="false"/>
          <w:bCs w:val="false"/>
          <w:i w:val="false"/>
          <w:iCs w:val="false"/>
        </w:rPr>
        <w:t xml:space="preserve">2 of 15</w:t>
      </w:r>
    </w:p>
    <w:p>
      <w:pPr>
        <w:spacing w:after="160"/>
      </w:pPr>
      <w:r>
        <w:rPr>
          <w:b w:val="false"/>
          <w:bCs w:val="false"/>
          <w:i w:val="false"/>
          <w:iCs w:val="false"/>
        </w:rPr>
        <w:t xml:space="preserve">This log records what has actually shipped against PERSON_B_PLAN_v2.md, phase by phase, including what was skipped or deferred. It is written to be checkable: every “done” claim below corresponds to a file in the repo, a commit, or a command that can be re-run.</w:t>
      </w:r>
    </w:p>
    <w:p>
      <w:pPr>
        <w:spacing w:after="160"/>
      </w:pPr>
      <w:r>
        <w:rPr>
          <w:b w:val="false"/>
          <w:bCs w:val="false"/>
          <w:i w:val="false"/>
          <w:iCs w:val="false"/>
        </w:rPr>
        <w:t xml:space="preserve">Where a planned deliverable is </w:t>
      </w:r>
      <w:r>
        <w:rPr>
          <w:b/>
          <w:bCs/>
          <w:i/>
          <w:iCs/>
        </w:rPr>
        <w:t xml:space="preserve">not</w:t>
      </w:r>
      <w:r>
        <w:rPr>
          <w:b w:val="false"/>
          <w:bCs w:val="false"/>
          <w:i w:val="false"/>
          <w:iCs w:val="false"/>
        </w:rPr>
        <w:t xml:space="preserve"> done, it says so plainly rather than omitting it.</w:t>
      </w:r>
    </w:p>
    <w:p>
      <w:pPr>
        <w:pBdr>
          <w:bottom w:val="single" w:color="B9AE9C" w:sz="6" w:space="4"/>
        </w:pBdr>
        <w:spacing w:after="240" w:before="120"/>
      </w:pPr>
    </w:p>
    <w:p>
      <w:pPr>
        <w:pStyle w:val="Heading1"/>
        <w:spacing w:after="160" w:before="360"/>
      </w:pPr>
      <w:r>
        <w:t xml:space="preserve">1. Schedule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shd w:fill="EDE7DD" w:color="auto" w:val="clear"/>
            <w:tcMar>
              <w:top w:type="dxa" w:w="80"/>
              <w:left w:type="dxa" w:w="100"/>
              <w:bottom w:type="dxa" w:w="80"/>
              <w:right w:type="dxa" w:w="100"/>
            </w:tcMar>
          </w:tcPr>
          <w:p>
            <w:pPr>
              <w:spacing w:after="0"/>
            </w:pPr>
            <w:r>
              <w:rPr>
                <w:b/>
                <w:bCs/>
                <w:i w:val="false"/>
                <w:iCs w:val="false"/>
              </w:rPr>
              <w:t xml:space="preserve"/>
            </w:r>
          </w:p>
        </w:tc>
        <w:tc>
          <w:tcPr>
            <w:tcW w:type="dxa" w:w="3430"/>
            <w:shd w:fill="EDE7DD" w:color="auto" w:val="clear"/>
            <w:tcMar>
              <w:top w:type="dxa" w:w="80"/>
              <w:left w:type="dxa" w:w="100"/>
              <w:bottom w:type="dxa" w:w="80"/>
              <w:right w:type="dxa" w:w="100"/>
            </w:tcMar>
          </w:tcPr>
          <w:p>
            <w:pPr>
              <w:spacing w:after="0"/>
            </w:pPr>
            <w:r>
              <w:rPr>
                <w:b/>
                <w:bCs/>
                <w:i w:val="false"/>
                <w:iCs w:val="false"/>
              </w:rPr>
              <w:t xml:space="preserve">Planned</w:t>
            </w:r>
          </w:p>
        </w:tc>
        <w:tc>
          <w:tcPr>
            <w:tcW w:type="dxa" w:w="3430"/>
            <w:shd w:fill="EDE7DD" w:color="auto" w:val="clear"/>
            <w:tcMar>
              <w:top w:type="dxa" w:w="80"/>
              <w:left w:type="dxa" w:w="100"/>
              <w:bottom w:type="dxa" w:w="80"/>
              <w:right w:type="dxa" w:w="100"/>
            </w:tcMar>
          </w:tcPr>
          <w:p>
            <w:pPr>
              <w:spacing w:after="0"/>
            </w:pPr>
            <w:r>
              <w:rPr>
                <w:b/>
                <w:bCs/>
                <w:i w:val="false"/>
                <w:iCs w:val="false"/>
              </w:rPr>
              <w:t xml:space="preserve">Actual</w:t>
            </w:r>
          </w:p>
        </w:tc>
      </w:tr>
      <w:tr>
        <w:tc>
          <w:tcPr>
            <w:tcW w:type="dxa" w:w="2500"/>
            <w:tcMar>
              <w:top w:type="dxa" w:w="80"/>
              <w:left w:type="dxa" w:w="100"/>
              <w:bottom w:type="dxa" w:w="80"/>
              <w:right w:type="dxa" w:w="100"/>
            </w:tcMar>
          </w:tcPr>
          <w:p>
            <w:pPr>
              <w:spacing w:after="0"/>
            </w:pPr>
            <w:r>
              <w:rPr>
                <w:b w:val="false"/>
                <w:bCs w:val="false"/>
                <w:i w:val="false"/>
                <w:iCs w:val="false"/>
              </w:rPr>
              <w:t xml:space="preserve">Phase 0 — Foundation</w:t>
            </w:r>
          </w:p>
        </w:tc>
        <w:tc>
          <w:tcPr>
            <w:tcW w:type="dxa" w:w="3430"/>
            <w:tcMar>
              <w:top w:type="dxa" w:w="80"/>
              <w:left w:type="dxa" w:w="100"/>
              <w:bottom w:type="dxa" w:w="80"/>
              <w:right w:type="dxa" w:w="100"/>
            </w:tcMar>
          </w:tcPr>
          <w:p>
            <w:pPr>
              <w:spacing w:after="0"/>
            </w:pPr>
            <w:r>
              <w:rPr>
                <w:b w:val="false"/>
                <w:bCs w:val="false"/>
                <w:i w:val="false"/>
                <w:iCs w:val="false"/>
              </w:rPr>
              <w:t xml:space="preserve">Weeks 1–2 (7–20 Sep)</w:t>
            </w:r>
          </w:p>
        </w:tc>
        <w:tc>
          <w:tcPr>
            <w:tcW w:type="dxa" w:w="3430"/>
            <w:tcMar>
              <w:top w:type="dxa" w:w="80"/>
              <w:left w:type="dxa" w:w="100"/>
              <w:bottom w:type="dxa" w:w="80"/>
              <w:right w:type="dxa" w:w="100"/>
            </w:tcMar>
          </w:tcPr>
          <w:p>
            <w:pPr>
              <w:spacing w:after="0"/>
            </w:pPr>
            <w:r>
              <w:rPr>
                <w:b w:val="false"/>
                <w:bCs w:val="false"/>
                <w:i w:val="false"/>
                <w:iCs w:val="false"/>
              </w:rPr>
              <w:t xml:space="preserve">Substantially complete</w:t>
            </w:r>
          </w:p>
        </w:tc>
      </w:tr>
      <w:tr>
        <w:tc>
          <w:tcPr>
            <w:tcW w:type="dxa" w:w="2500"/>
            <w:tcMar>
              <w:top w:type="dxa" w:w="80"/>
              <w:left w:type="dxa" w:w="100"/>
              <w:bottom w:type="dxa" w:w="80"/>
              <w:right w:type="dxa" w:w="100"/>
            </w:tcMar>
          </w:tcPr>
          <w:p>
            <w:pPr>
              <w:spacing w:after="0"/>
            </w:pPr>
            <w:r>
              <w:rPr>
                <w:b w:val="false"/>
                <w:bCs w:val="false"/>
                <w:i w:val="false"/>
                <w:iCs w:val="false"/>
              </w:rPr>
              <w:t xml:space="preserve">Phase 1 — Fixtures, types, shell screens</w:t>
            </w:r>
          </w:p>
        </w:tc>
        <w:tc>
          <w:tcPr>
            <w:tcW w:type="dxa" w:w="3430"/>
            <w:tcMar>
              <w:top w:type="dxa" w:w="80"/>
              <w:left w:type="dxa" w:w="100"/>
              <w:bottom w:type="dxa" w:w="80"/>
              <w:right w:type="dxa" w:w="100"/>
            </w:tcMar>
          </w:tcPr>
          <w:p>
            <w:pPr>
              <w:spacing w:after="0"/>
            </w:pPr>
            <w:r>
              <w:rPr>
                <w:b w:val="false"/>
                <w:bCs w:val="false"/>
                <w:i w:val="false"/>
                <w:iCs w:val="false"/>
              </w:rPr>
              <w:t xml:space="preserve">Weeks 3–4 (21 Sep–4 Oct)</w:t>
            </w:r>
          </w:p>
        </w:tc>
        <w:tc>
          <w:tcPr>
            <w:tcW w:type="dxa" w:w="3430"/>
            <w:tcMar>
              <w:top w:type="dxa" w:w="80"/>
              <w:left w:type="dxa" w:w="100"/>
              <w:bottom w:type="dxa" w:w="80"/>
              <w:right w:type="dxa" w:w="100"/>
            </w:tcMar>
          </w:tcPr>
          <w:p>
            <w:pPr>
              <w:spacing w:after="0"/>
            </w:pPr>
            <w:r>
              <w:rPr>
                <w:b w:val="false"/>
                <w:bCs w:val="false"/>
                <w:i w:val="false"/>
                <w:iCs w:val="false"/>
              </w:rPr>
              <w:t xml:space="preserve">Substantially complete</w:t>
            </w:r>
          </w:p>
        </w:tc>
      </w:tr>
      <w:tr>
        <w:tc>
          <w:tcPr>
            <w:tcW w:type="dxa" w:w="2500"/>
            <w:tcMar>
              <w:top w:type="dxa" w:w="80"/>
              <w:left w:type="dxa" w:w="100"/>
              <w:bottom w:type="dxa" w:w="80"/>
              <w:right w:type="dxa" w:w="100"/>
            </w:tcMar>
          </w:tcPr>
          <w:p>
            <w:pPr>
              <w:spacing w:after="0"/>
            </w:pPr>
            <w:r>
              <w:rPr>
                <w:b w:val="false"/>
                <w:bCs w:val="false"/>
                <w:i w:val="false"/>
                <w:iCs w:val="false"/>
              </w:rPr>
              <w:t xml:space="preserve">Phase 2 — Results experience</w:t>
            </w:r>
          </w:p>
        </w:tc>
        <w:tc>
          <w:tcPr>
            <w:tcW w:type="dxa" w:w="3430"/>
            <w:tcMar>
              <w:top w:type="dxa" w:w="80"/>
              <w:left w:type="dxa" w:w="100"/>
              <w:bottom w:type="dxa" w:w="80"/>
              <w:right w:type="dxa" w:w="100"/>
            </w:tcMar>
          </w:tcPr>
          <w:p>
            <w:pPr>
              <w:spacing w:after="0"/>
            </w:pPr>
            <w:r>
              <w:rPr>
                <w:b w:val="false"/>
                <w:bCs w:val="false"/>
                <w:i w:val="false"/>
                <w:iCs w:val="false"/>
              </w:rPr>
              <w:t xml:space="preserve">Weeks 5–7 (5–25 Oct)</w:t>
            </w:r>
          </w:p>
        </w:tc>
        <w:tc>
          <w:tcPr>
            <w:tcW w:type="dxa" w:w="3430"/>
            <w:tcMar>
              <w:top w:type="dxa" w:w="80"/>
              <w:left w:type="dxa" w:w="100"/>
              <w:bottom w:type="dxa" w:w="80"/>
              <w:right w:type="dxa" w:w="100"/>
            </w:tcMar>
          </w:tcPr>
          <w:p>
            <w:pPr>
              <w:spacing w:after="0"/>
            </w:pPr>
            <w:r>
              <w:rPr>
                <w:b w:val="false"/>
                <w:bCs w:val="false"/>
                <w:i w:val="false"/>
                <w:iCs w:val="false"/>
              </w:rPr>
              <w:t xml:space="preserve">Complete, except the two CP2-blocked tasks</w:t>
            </w:r>
          </w:p>
        </w:tc>
      </w:tr>
    </w:tbl>
    <w:p>
      <w:pPr>
        <w:spacing w:after="100"/>
      </w:pPr>
      <w:r>
        <w:rPr>
          <w:b w:val="false"/>
          <w:bCs w:val="false"/>
          <w:i w:val="false"/>
          <w:iCs w:val="false"/>
        </w:rPr>
        <w:t xml:space="preserve"/>
      </w:r>
    </w:p>
    <w:p>
      <w:pPr>
        <w:spacing w:after="160"/>
      </w:pPr>
      <w:r>
        <w:rPr>
          <w:b/>
          <w:bCs/>
          <w:i w:val="false"/>
          <w:iCs w:val="false"/>
        </w:rPr>
        <w:t xml:space="preserve">The build is running roughly seven weeks ahead of the plan’s calendar.</w:t>
      </w:r>
      <w:r>
        <w:rPr>
          <w:b w:val="false"/>
          <w:bCs w:val="false"/>
          <w:i w:val="false"/>
          <w:iCs w:val="false"/>
        </w:rPr>
        <w:t xml:space="preserve"> Today is Week 2, which the plan schedules as mid-Phase-0; Phase 2’s own deadline is 25 Oct.</w:t>
      </w:r>
    </w:p>
    <w:p>
      <w:pPr>
        <w:spacing w:after="160"/>
      </w:pPr>
      <w:r>
        <w:rPr>
          <w:b w:val="false"/>
          <w:bCs w:val="false"/>
          <w:i w:val="false"/>
          <w:iCs w:val="false"/>
        </w:rPr>
        <w:t xml:space="preserve">That headroom is real, but it is not uniformly distributed. The work that ran ahead is the code; the work that lagged is the </w:t>
      </w:r>
      <w:r>
        <w:rPr>
          <w:b/>
          <w:bCs/>
          <w:i w:val="false"/>
          <w:iCs w:val="false"/>
        </w:rPr>
        <w:t xml:space="preserve">human-dependent, calendar-bound</w:t>
      </w:r>
      <w:r>
        <w:rPr>
          <w:b w:val="false"/>
          <w:bCs w:val="false"/>
          <w:i w:val="false"/>
          <w:iCs w:val="false"/>
        </w:rPr>
        <w:t xml:space="preserve"> work — collecting consented resumes, drawing wireframes, showing them to classmates, standing up live hosting. Those cannot be compressed the way code can, and several of them gate later phases (§5). The honest summary is: </w:t>
      </w:r>
      <w:r>
        <w:rPr>
          <w:b/>
          <w:bCs/>
          <w:i w:val="false"/>
          <w:iCs w:val="false"/>
        </w:rPr>
        <w:t xml:space="preserve">implementation is far ahead, field and logistics work is behind.</w:t>
      </w:r>
    </w:p>
    <w:p>
      <w:pPr>
        <w:spacing w:after="160"/>
      </w:pPr>
      <w:r>
        <w:rPr>
          <w:b w:val="false"/>
          <w:bCs w:val="false"/>
          <w:i w:val="false"/>
          <w:iCs w:val="false"/>
        </w:rPr>
        <w:t xml:space="preserve">A second caveat: git history does not corroborate the Phase 0/1 timeline. All Phase 0 and Phase 1 work was committed in two commits on 14 Sep (d42067a, 63614ce), so the repo cannot evidence when it was built. Phase 2 (26 commits, 14–15 Sep) is fully traceable.</w:t>
      </w:r>
    </w:p>
    <w:p>
      <w:pPr>
        <w:pBdr>
          <w:bottom w:val="single" w:color="B9AE9C" w:sz="6" w:space="4"/>
        </w:pBdr>
        <w:spacing w:after="240" w:before="120"/>
      </w:pPr>
    </w:p>
    <w:p>
      <w:pPr>
        <w:pStyle w:val="Heading1"/>
        <w:spacing w:after="160" w:before="360"/>
      </w:pPr>
      <w:r>
        <w:t xml:space="preserve">2. Phase 0 — Foundation</w:t>
      </w:r>
    </w:p>
    <w:p>
      <w:pPr>
        <w:spacing w:after="160"/>
      </w:pPr>
      <w:r>
        <w:rPr>
          <w:b/>
          <w:bCs/>
          <w:i w:val="false"/>
          <w:iCs w:val="false"/>
        </w:rPr>
        <w:t xml:space="preserve">Goal: </w:t>
      </w:r>
      <w:r>
        <w:rPr>
          <w:b w:val="false"/>
          <w:bCs w:val="false"/>
          <w:i w:val="false"/>
          <w:iCs w:val="false"/>
        </w:rPr>
        <w:t xml:space="preserve">every decision written down, both machines run the stack locally, hosting exists, data collected. No product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5460"/>
      </w:tblGrid>
      <w:tr>
        <w:trPr>
          <w:tblHeader/>
        </w:trPr>
        <w:tc>
          <w:tcPr>
            <w:tcW w:type="dxa" w:w="500"/>
            <w:shd w:fill="EDE7DD" w:color="auto" w:val="clear"/>
            <w:tcMar>
              <w:top w:type="dxa" w:w="80"/>
              <w:left w:type="dxa" w:w="100"/>
              <w:bottom w:type="dxa" w:w="80"/>
              <w:right w:type="dxa" w:w="100"/>
            </w:tcMar>
          </w:tcPr>
          <w:p>
            <w:pPr>
              <w:spacing w:after="0"/>
            </w:pPr>
            <w:r>
              <w:rPr>
                <w:b/>
                <w:bCs/>
                <w:i w:val="false"/>
                <w:iCs w:val="false"/>
              </w:rPr>
              <w:t xml:space="preserve">#</w:t>
            </w:r>
          </w:p>
        </w:tc>
        <w:tc>
          <w:tcPr>
            <w:tcW w:type="dxa" w:w="2000"/>
            <w:shd w:fill="EDE7DD" w:color="auto" w:val="clear"/>
            <w:tcMar>
              <w:top w:type="dxa" w:w="80"/>
              <w:left w:type="dxa" w:w="100"/>
              <w:bottom w:type="dxa" w:w="80"/>
              <w:right w:type="dxa" w:w="100"/>
            </w:tcMar>
          </w:tcPr>
          <w:p>
            <w:pPr>
              <w:spacing w:after="0"/>
            </w:pPr>
            <w:r>
              <w:rPr>
                <w:b/>
                <w:bCs/>
                <w:i w:val="false"/>
                <w:iCs w:val="false"/>
              </w:rPr>
              <w:t xml:space="preserve">Deliverable</w:t>
            </w:r>
          </w:p>
        </w:tc>
        <w:tc>
          <w:tcPr>
            <w:tcW w:type="dxa" w:w="1400"/>
            <w:shd w:fill="EDE7DD" w:color="auto" w:val="clear"/>
            <w:tcMar>
              <w:top w:type="dxa" w:w="80"/>
              <w:left w:type="dxa" w:w="100"/>
              <w:bottom w:type="dxa" w:w="80"/>
              <w:right w:type="dxa" w:w="100"/>
            </w:tcMar>
          </w:tcPr>
          <w:p>
            <w:pPr>
              <w:spacing w:after="0"/>
            </w:pPr>
            <w:r>
              <w:rPr>
                <w:b/>
                <w:bCs/>
                <w:i w:val="false"/>
                <w:iCs w:val="false"/>
              </w:rPr>
              <w:t xml:space="preserve">Status</w:t>
            </w:r>
          </w:p>
        </w:tc>
        <w:tc>
          <w:tcPr>
            <w:tcW w:type="dxa" w:w="5460"/>
            <w:shd w:fill="EDE7DD" w:color="auto" w:val="clear"/>
            <w:tcMar>
              <w:top w:type="dxa" w:w="80"/>
              <w:left w:type="dxa" w:w="100"/>
              <w:bottom w:type="dxa" w:w="80"/>
              <w:right w:type="dxa" w:w="100"/>
            </w:tcMar>
          </w:tcPr>
          <w:p>
            <w:pPr>
              <w:spacing w:after="0"/>
            </w:pPr>
            <w:r>
              <w:rPr>
                <w:b/>
                <w:bCs/>
                <w:i w:val="false"/>
                <w:iCs w:val="false"/>
              </w:rPr>
              <w:t xml:space="preserve">Evidence / gap</w:t>
            </w:r>
          </w:p>
        </w:tc>
      </w:tr>
      <w:tr>
        <w:tc>
          <w:tcPr>
            <w:tcW w:type="dxa" w:w="500"/>
            <w:tcMar>
              <w:top w:type="dxa" w:w="80"/>
              <w:left w:type="dxa" w:w="100"/>
              <w:bottom w:type="dxa" w:w="80"/>
              <w:right w:type="dxa" w:w="100"/>
            </w:tcMar>
          </w:tcPr>
          <w:p>
            <w:pPr>
              <w:spacing w:after="0"/>
            </w:pPr>
            <w:r>
              <w:rPr>
                <w:b w:val="false"/>
                <w:bCs w:val="false"/>
                <w:i w:val="false"/>
                <w:iCs w:val="false"/>
              </w:rPr>
              <w:t xml:space="preserve">1</w:t>
            </w:r>
          </w:p>
        </w:tc>
        <w:tc>
          <w:tcPr>
            <w:tcW w:type="dxa" w:w="2000"/>
            <w:tcMar>
              <w:top w:type="dxa" w:w="80"/>
              <w:left w:type="dxa" w:w="100"/>
              <w:bottom w:type="dxa" w:w="80"/>
              <w:right w:type="dxa" w:w="100"/>
            </w:tcMar>
          </w:tcPr>
          <w:p>
            <w:pPr>
              <w:spacing w:after="0"/>
            </w:pPr>
            <w:r>
              <w:rPr>
                <w:b w:val="false"/>
                <w:bCs w:val="false"/>
                <w:i w:val="false"/>
                <w:iCs w:val="false"/>
              </w:rPr>
              <w:t xml:space="preserve">Brand, BRAND.md</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BRAND.md — positioning, voice rules (§6), colour tokens. Design system later pivoted from indigo to the paper/ink/lac palette now in use.</w:t>
            </w:r>
          </w:p>
        </w:tc>
      </w:tr>
      <w:tr>
        <w:tc>
          <w:tcPr>
            <w:tcW w:type="dxa" w:w="500"/>
            <w:tcMar>
              <w:top w:type="dxa" w:w="80"/>
              <w:left w:type="dxa" w:w="100"/>
              <w:bottom w:type="dxa" w:w="80"/>
              <w:right w:type="dxa" w:w="100"/>
            </w:tcMar>
          </w:tcPr>
          <w:p>
            <w:pPr>
              <w:spacing w:after="0"/>
            </w:pPr>
            <w:r>
              <w:rPr>
                <w:b w:val="false"/>
                <w:bCs w:val="false"/>
                <w:i w:val="false"/>
                <w:iCs w:val="false"/>
              </w:rPr>
              <w:t xml:space="preserve">2</w:t>
            </w:r>
          </w:p>
        </w:tc>
        <w:tc>
          <w:tcPr>
            <w:tcW w:type="dxa" w:w="2000"/>
            <w:tcMar>
              <w:top w:type="dxa" w:w="80"/>
              <w:left w:type="dxa" w:w="100"/>
              <w:bottom w:type="dxa" w:w="80"/>
              <w:right w:type="dxa" w:w="100"/>
            </w:tcMar>
          </w:tcPr>
          <w:p>
            <w:pPr>
              <w:spacing w:after="0"/>
            </w:pPr>
            <w:r>
              <w:rPr>
                <w:b w:val="false"/>
                <w:bCs w:val="false"/>
                <w:i w:val="false"/>
                <w:iCs w:val="false"/>
              </w:rPr>
              <w:t xml:space="preserve">Monorepo scaffold</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web/ (Next.js 15, App Router, TS strict, Tailwind), api/ (FastAPI + pydantic-settings), engine/ (installable package, pyproject.toml)</w:t>
            </w:r>
          </w:p>
        </w:tc>
      </w:tr>
      <w:tr>
        <w:tc>
          <w:tcPr>
            <w:tcW w:type="dxa" w:w="500"/>
            <w:tcMar>
              <w:top w:type="dxa" w:w="80"/>
              <w:left w:type="dxa" w:w="100"/>
              <w:bottom w:type="dxa" w:w="80"/>
              <w:right w:type="dxa" w:w="100"/>
            </w:tcMar>
          </w:tcPr>
          <w:p>
            <w:pPr>
              <w:spacing w:after="0"/>
            </w:pPr>
            <w:r>
              <w:rPr>
                <w:b w:val="false"/>
                <w:bCs w:val="false"/>
                <w:i w:val="false"/>
                <w:iCs w:val="false"/>
              </w:rPr>
              <w:t xml:space="preserve">3</w:t>
            </w:r>
          </w:p>
        </w:tc>
        <w:tc>
          <w:tcPr>
            <w:tcW w:type="dxa" w:w="2000"/>
            <w:tcMar>
              <w:top w:type="dxa" w:w="80"/>
              <w:left w:type="dxa" w:w="100"/>
              <w:bottom w:type="dxa" w:w="80"/>
              <w:right w:type="dxa" w:w="100"/>
            </w:tcMar>
          </w:tcPr>
          <w:p>
            <w:pPr>
              <w:spacing w:after="0"/>
            </w:pPr>
            <w:r>
              <w:rPr>
                <w:b w:val="false"/>
                <w:bCs w:val="false"/>
                <w:i w:val="false"/>
                <w:iCs w:val="false"/>
              </w:rPr>
              <w:t xml:space="preserve">Local dev via Docker Compose</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deploy/docker-compose.yml, api/Dockerfile, deploy/runbook.md. Note: Colima must be started manually on the dev machine.</w:t>
            </w:r>
          </w:p>
        </w:tc>
      </w:tr>
      <w:tr>
        <w:tc>
          <w:tcPr>
            <w:tcW w:type="dxa" w:w="500"/>
            <w:tcMar>
              <w:top w:type="dxa" w:w="80"/>
              <w:left w:type="dxa" w:w="100"/>
              <w:bottom w:type="dxa" w:w="80"/>
              <w:right w:type="dxa" w:w="100"/>
            </w:tcMar>
          </w:tcPr>
          <w:p>
            <w:pPr>
              <w:spacing w:after="0"/>
            </w:pPr>
            <w:r>
              <w:rPr>
                <w:b w:val="false"/>
                <w:bCs w:val="false"/>
                <w:i w:val="false"/>
                <w:iCs w:val="false"/>
              </w:rPr>
              <w:t xml:space="preserve">4</w:t>
            </w:r>
          </w:p>
        </w:tc>
        <w:tc>
          <w:tcPr>
            <w:tcW w:type="dxa" w:w="2000"/>
            <w:tcMar>
              <w:top w:type="dxa" w:w="80"/>
              <w:left w:type="dxa" w:w="100"/>
              <w:bottom w:type="dxa" w:w="80"/>
              <w:right w:type="dxa" w:w="100"/>
            </w:tcMar>
          </w:tcPr>
          <w:p>
            <w:pPr>
              <w:spacing w:after="0"/>
            </w:pPr>
            <w:r>
              <w:rPr>
                <w:b w:val="false"/>
                <w:bCs w:val="false"/>
                <w:i w:val="false"/>
                <w:iCs w:val="false"/>
              </w:rPr>
              <w:t xml:space="preserve">i18n skeleton</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next-intl, app/[locale]/ routing, messages/en.json + km.json, locale switcher in header</w:t>
            </w:r>
          </w:p>
        </w:tc>
      </w:tr>
      <w:tr>
        <w:tc>
          <w:tcPr>
            <w:tcW w:type="dxa" w:w="500"/>
            <w:tcMar>
              <w:top w:type="dxa" w:w="80"/>
              <w:left w:type="dxa" w:w="100"/>
              <w:bottom w:type="dxa" w:w="80"/>
              <w:right w:type="dxa" w:w="100"/>
            </w:tcMar>
          </w:tcPr>
          <w:p>
            <w:pPr>
              <w:spacing w:after="0"/>
            </w:pPr>
            <w:r>
              <w:rPr>
                <w:b w:val="false"/>
                <w:bCs w:val="false"/>
                <w:i w:val="false"/>
                <w:iCs w:val="false"/>
              </w:rPr>
              <w:t xml:space="preserve">5</w:t>
            </w:r>
          </w:p>
        </w:tc>
        <w:tc>
          <w:tcPr>
            <w:tcW w:type="dxa" w:w="2000"/>
            <w:tcMar>
              <w:top w:type="dxa" w:w="80"/>
              <w:left w:type="dxa" w:w="100"/>
              <w:bottom w:type="dxa" w:w="80"/>
              <w:right w:type="dxa" w:w="100"/>
            </w:tcMar>
          </w:tcPr>
          <w:p>
            <w:pPr>
              <w:spacing w:after="0"/>
            </w:pPr>
            <w:r>
              <w:rPr>
                <w:b w:val="false"/>
                <w:bCs w:val="false"/>
                <w:i w:val="false"/>
                <w:iCs w:val="false"/>
              </w:rPr>
              <w:t xml:space="preserve">Design system + primitives</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Button, Card, Badge, Stamp, VerdictIcon, CoverageStat. Verdict colours always paired with an icon, never colour alone.</w:t>
            </w:r>
          </w:p>
        </w:tc>
      </w:tr>
      <w:tr>
        <w:tc>
          <w:tcPr>
            <w:tcW w:type="dxa" w:w="500"/>
            <w:tcMar>
              <w:top w:type="dxa" w:w="80"/>
              <w:left w:type="dxa" w:w="100"/>
              <w:bottom w:type="dxa" w:w="80"/>
              <w:right w:type="dxa" w:w="100"/>
            </w:tcMar>
          </w:tcPr>
          <w:p>
            <w:pPr>
              <w:spacing w:after="0"/>
            </w:pPr>
            <w:r>
              <w:rPr>
                <w:b w:val="false"/>
                <w:bCs w:val="false"/>
                <w:i w:val="false"/>
                <w:iCs w:val="false"/>
              </w:rPr>
              <w:t xml:space="preserve">6</w:t>
            </w:r>
          </w:p>
        </w:tc>
        <w:tc>
          <w:tcPr>
            <w:tcW w:type="dxa" w:w="2000"/>
            <w:tcMar>
              <w:top w:type="dxa" w:w="80"/>
              <w:left w:type="dxa" w:w="100"/>
              <w:bottom w:type="dxa" w:w="80"/>
              <w:right w:type="dxa" w:w="100"/>
            </w:tcMar>
          </w:tcPr>
          <w:p>
            <w:pPr>
              <w:spacing w:after="0"/>
            </w:pPr>
            <w:r>
              <w:rPr>
                <w:b w:val="false"/>
                <w:bCs w:val="false"/>
                <w:i w:val="false"/>
                <w:iCs w:val="false"/>
              </w:rPr>
              <w:t xml:space="preserve">Wireframes + classmate feedback</w:t>
            </w:r>
          </w:p>
        </w:tc>
        <w:tc>
          <w:tcPr>
            <w:tcW w:type="dxa" w:w="1400"/>
            <w:tcMar>
              <w:top w:type="dxa" w:w="80"/>
              <w:left w:type="dxa" w:w="100"/>
              <w:bottom w:type="dxa" w:w="80"/>
              <w:right w:type="dxa" w:w="100"/>
            </w:tcMar>
          </w:tcPr>
          <w:p>
            <w:pPr>
              <w:spacing w:after="0"/>
            </w:pPr>
            <w:r>
              <w:rPr>
                <w:b/>
                <w:bCs/>
                <w:i w:val="false"/>
                <w:iCs w:val="false"/>
              </w:rPr>
              <w:t xml:space="preserve">Not done</w:t>
            </w:r>
          </w:p>
        </w:tc>
        <w:tc>
          <w:tcPr>
            <w:tcW w:type="dxa" w:w="5460"/>
            <w:tcMar>
              <w:top w:type="dxa" w:w="80"/>
              <w:left w:type="dxa" w:w="100"/>
              <w:bottom w:type="dxa" w:w="80"/>
              <w:right w:type="dxa" w:w="100"/>
            </w:tcMar>
          </w:tcPr>
          <w:p>
            <w:pPr>
              <w:spacing w:after="0"/>
            </w:pPr>
            <w:r>
              <w:rPr>
                <w:b w:val="false"/>
                <w:bCs w:val="false"/>
                <w:i w:val="false"/>
                <w:iCs w:val="false"/>
              </w:rPr>
              <w:t xml:space="preserve">docs/wireframes/ contains only a README, which states this plainly. No images, no feedback round.</w:t>
            </w:r>
          </w:p>
        </w:tc>
      </w:tr>
      <w:tr>
        <w:tc>
          <w:tcPr>
            <w:tcW w:type="dxa" w:w="500"/>
            <w:tcMar>
              <w:top w:type="dxa" w:w="80"/>
              <w:left w:type="dxa" w:w="100"/>
              <w:bottom w:type="dxa" w:w="80"/>
              <w:right w:type="dxa" w:w="100"/>
            </w:tcMar>
          </w:tcPr>
          <w:p>
            <w:pPr>
              <w:spacing w:after="0"/>
            </w:pPr>
            <w:r>
              <w:rPr>
                <w:b w:val="false"/>
                <w:bCs w:val="false"/>
                <w:i w:val="false"/>
                <w:iCs w:val="false"/>
              </w:rPr>
              <w:t xml:space="preserve">7</w:t>
            </w:r>
          </w:p>
        </w:tc>
        <w:tc>
          <w:tcPr>
            <w:tcW w:type="dxa" w:w="2000"/>
            <w:tcMar>
              <w:top w:type="dxa" w:w="80"/>
              <w:left w:type="dxa" w:w="100"/>
              <w:bottom w:type="dxa" w:w="80"/>
              <w:right w:type="dxa" w:w="100"/>
            </w:tcMar>
          </w:tcPr>
          <w:p>
            <w:pPr>
              <w:spacing w:after="0"/>
            </w:pPr>
            <w:r>
              <w:rPr>
                <w:b w:val="false"/>
                <w:bCs w:val="false"/>
                <w:i w:val="false"/>
                <w:iCs w:val="false"/>
              </w:rPr>
              <w:t xml:space="preserve">Hosting accounts + first deploy</w:t>
            </w:r>
          </w:p>
        </w:tc>
        <w:tc>
          <w:tcPr>
            <w:tcW w:type="dxa" w:w="1400"/>
            <w:tcMar>
              <w:top w:type="dxa" w:w="80"/>
              <w:left w:type="dxa" w:w="100"/>
              <w:bottom w:type="dxa" w:w="80"/>
              <w:right w:type="dxa" w:w="100"/>
            </w:tcMar>
          </w:tcPr>
          <w:p>
            <w:pPr>
              <w:spacing w:after="0"/>
            </w:pPr>
            <w:r>
              <w:rPr>
                <w:b/>
                <w:bCs/>
                <w:i w:val="false"/>
                <w:iCs w:val="false"/>
              </w:rPr>
              <w:t xml:space="preserve">Not done</w:t>
            </w:r>
          </w:p>
        </w:tc>
        <w:tc>
          <w:tcPr>
            <w:tcW w:type="dxa" w:w="5460"/>
            <w:tcMar>
              <w:top w:type="dxa" w:w="80"/>
              <w:left w:type="dxa" w:w="100"/>
              <w:bottom w:type="dxa" w:w="80"/>
              <w:right w:type="dxa" w:w="100"/>
            </w:tcMar>
          </w:tcPr>
          <w:p>
            <w:pPr>
              <w:spacing w:after="0"/>
            </w:pPr>
            <w:r>
              <w:rPr>
                <w:b w:val="false"/>
                <w:bCs w:val="false"/>
                <w:i w:val="false"/>
                <w:iCs w:val="false"/>
              </w:rPr>
              <w:t xml:space="preserve">deploy/render.yaml and the runbook exist; no live URL is recorded anywhere in the repo.</w:t>
            </w:r>
          </w:p>
        </w:tc>
      </w:tr>
      <w:tr>
        <w:tc>
          <w:tcPr>
            <w:tcW w:type="dxa" w:w="500"/>
            <w:tcMar>
              <w:top w:type="dxa" w:w="80"/>
              <w:left w:type="dxa" w:w="100"/>
              <w:bottom w:type="dxa" w:w="80"/>
              <w:right w:type="dxa" w:w="100"/>
            </w:tcMar>
          </w:tcPr>
          <w:p>
            <w:pPr>
              <w:spacing w:after="0"/>
            </w:pPr>
            <w:r>
              <w:rPr>
                <w:b w:val="false"/>
                <w:bCs w:val="false"/>
                <w:i w:val="false"/>
                <w:iCs w:val="false"/>
              </w:rPr>
              <w:t xml:space="preserve">8</w:t>
            </w:r>
          </w:p>
        </w:tc>
        <w:tc>
          <w:tcPr>
            <w:tcW w:type="dxa" w:w="2000"/>
            <w:tcMar>
              <w:top w:type="dxa" w:w="80"/>
              <w:left w:type="dxa" w:w="100"/>
              <w:bottom w:type="dxa" w:w="80"/>
              <w:right w:type="dxa" w:w="100"/>
            </w:tcMar>
          </w:tcPr>
          <w:p>
            <w:pPr>
              <w:spacing w:after="0"/>
            </w:pPr>
            <w:r>
              <w:rPr>
                <w:b w:val="false"/>
                <w:bCs w:val="false"/>
                <w:i w:val="false"/>
                <w:iCs w:val="false"/>
              </w:rPr>
              <w:t xml:space="preserve">Data collection (15 JDs, 5 resumes)</w:t>
            </w:r>
          </w:p>
        </w:tc>
        <w:tc>
          <w:tcPr>
            <w:tcW w:type="dxa" w:w="1400"/>
            <w:tcMar>
              <w:top w:type="dxa" w:w="80"/>
              <w:left w:type="dxa" w:w="100"/>
              <w:bottom w:type="dxa" w:w="80"/>
              <w:right w:type="dxa" w:w="100"/>
            </w:tcMar>
          </w:tcPr>
          <w:p>
            <w:pPr>
              <w:spacing w:after="0"/>
            </w:pPr>
            <w:r>
              <w:rPr>
                <w:b/>
                <w:bCs/>
                <w:i w:val="false"/>
                <w:iCs w:val="false"/>
              </w:rPr>
              <w:t xml:space="preserve">Partial</w:t>
            </w:r>
          </w:p>
        </w:tc>
        <w:tc>
          <w:tcPr>
            <w:tcW w:type="dxa" w:w="5460"/>
            <w:tcMar>
              <w:top w:type="dxa" w:w="80"/>
              <w:left w:type="dxa" w:w="100"/>
              <w:bottom w:type="dxa" w:w="80"/>
              <w:right w:type="dxa" w:w="100"/>
            </w:tcMar>
          </w:tcPr>
          <w:p>
            <w:pPr>
              <w:spacing w:after="0"/>
            </w:pPr>
            <w:r>
              <w:rPr>
                <w:b w:val="false"/>
                <w:bCs w:val="false"/>
                <w:i w:val="false"/>
                <w:iCs w:val="false"/>
              </w:rPr>
              <w:t xml:space="preserve">See below — JDs exceeded in volume but skewed; resumes well short.</w:t>
            </w:r>
          </w:p>
        </w:tc>
      </w:tr>
      <w:tr>
        <w:tc>
          <w:tcPr>
            <w:tcW w:type="dxa" w:w="500"/>
            <w:tcMar>
              <w:top w:type="dxa" w:w="80"/>
              <w:left w:type="dxa" w:w="100"/>
              <w:bottom w:type="dxa" w:w="80"/>
              <w:right w:type="dxa" w:w="100"/>
            </w:tcMar>
          </w:tcPr>
          <w:p>
            <w:pPr>
              <w:spacing w:after="0"/>
            </w:pPr>
            <w:r>
              <w:rPr>
                <w:b w:val="false"/>
                <w:bCs w:val="false"/>
                <w:i w:val="false"/>
                <w:iCs w:val="false"/>
              </w:rPr>
              <w:t xml:space="preserve">9</w:t>
            </w:r>
          </w:p>
        </w:tc>
        <w:tc>
          <w:tcPr>
            <w:tcW w:type="dxa" w:w="2000"/>
            <w:tcMar>
              <w:top w:type="dxa" w:w="80"/>
              <w:left w:type="dxa" w:w="100"/>
              <w:bottom w:type="dxa" w:w="80"/>
              <w:right w:type="dxa" w:w="100"/>
            </w:tcMar>
          </w:tcPr>
          <w:p>
            <w:pPr>
              <w:spacing w:after="0"/>
            </w:pPr>
            <w:r>
              <w:rPr>
                <w:b w:val="false"/>
                <w:bCs w:val="false"/>
                <w:i w:val="false"/>
                <w:iCs w:val="false"/>
              </w:rPr>
              <w:t xml:space="preserve">.env.example, secrets discipline</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.env.example present, .env git-ignored, no keys committed</w:t>
            </w:r>
          </w:p>
        </w:tc>
      </w:tr>
    </w:tbl>
    <w:p>
      <w:pPr>
        <w:pStyle w:val="Heading2"/>
        <w:spacing w:after="120" w:before="260"/>
      </w:pPr>
      <w:r>
        <w:t xml:space="preserve">Data collection, in detail</w:t>
      </w:r>
    </w:p>
    <w:p>
      <w:pPr>
        <w:spacing w:after="160"/>
      </w:pPr>
      <w:r>
        <w:rPr>
          <w:b/>
          <w:bCs/>
          <w:i w:val="false"/>
          <w:iCs w:val="false"/>
        </w:rPr>
        <w:t xml:space="preserve">Job descriptions — 25 unique real listings collected</w:t>
      </w:r>
      <w:r>
        <w:rPr>
          <w:b w:val="false"/>
          <w:bCs w:val="false"/>
          <w:i w:val="false"/>
          <w:iCs w:val="false"/>
        </w:rPr>
        <w:t xml:space="preserve"> (44 CSV records across four files, with overlap between them), past the 15 the plan asked for in raw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7DD" w:color="auto" w:val="clear"/>
            <w:tcMar>
              <w:top w:type="dxa" w:w="80"/>
              <w:left w:type="dxa" w:w="100"/>
              <w:bottom w:type="dxa" w:w="80"/>
              <w:right w:type="dxa" w:w="100"/>
            </w:tcMar>
          </w:tcPr>
          <w:p>
            <w:pPr>
              <w:spacing w:after="0"/>
            </w:pPr>
            <w:r>
              <w:rPr>
                <w:b/>
                <w:bCs/>
                <w:i w:val="false"/>
                <w:iCs w:val="false"/>
              </w:rPr>
              <w:t xml:space="preserve">Source</w:t>
            </w:r>
          </w:p>
        </w:tc>
        <w:tc>
          <w:tcPr>
            <w:tcW w:type="dxa" w:w="2340"/>
            <w:shd w:fill="EDE7DD" w:color="auto" w:val="clear"/>
            <w:tcMar>
              <w:top w:type="dxa" w:w="80"/>
              <w:left w:type="dxa" w:w="100"/>
              <w:bottom w:type="dxa" w:w="80"/>
              <w:right w:type="dxa" w:w="100"/>
            </w:tcMar>
          </w:tcPr>
          <w:p>
            <w:pPr>
              <w:spacing w:after="0"/>
            </w:pPr>
            <w:r>
              <w:rPr>
                <w:b/>
                <w:bCs/>
                <w:i w:val="false"/>
                <w:iCs w:val="false"/>
              </w:rPr>
              <w:t xml:space="preserve">Records</w:t>
            </w:r>
          </w:p>
        </w:tc>
        <w:tc>
          <w:tcPr>
            <w:tcW w:type="dxa" w:w="2340"/>
            <w:shd w:fill="EDE7DD" w:color="auto" w:val="clear"/>
            <w:tcMar>
              <w:top w:type="dxa" w:w="80"/>
              <w:left w:type="dxa" w:w="100"/>
              <w:bottom w:type="dxa" w:w="80"/>
              <w:right w:type="dxa" w:w="100"/>
            </w:tcMar>
          </w:tcPr>
          <w:p>
            <w:pPr>
              <w:spacing w:after="0"/>
            </w:pPr>
            <w:r>
              <w:rPr>
                <w:b/>
                <w:bCs/>
                <w:i w:val="false"/>
                <w:iCs w:val="false"/>
              </w:rPr>
              <w:t xml:space="preserve">Country</w:t>
            </w:r>
          </w:p>
        </w:tc>
        <w:tc>
          <w:tcPr>
            <w:tcW w:type="dxa" w:w="2340"/>
            <w:shd w:fill="EDE7DD" w:color="auto" w:val="clear"/>
            <w:tcMar>
              <w:top w:type="dxa" w:w="80"/>
              <w:left w:type="dxa" w:w="100"/>
              <w:bottom w:type="dxa" w:w="80"/>
              <w:right w:type="dxa" w:w="100"/>
            </w:tcMar>
          </w:tcPr>
          <w:p>
            <w:pPr>
              <w:spacing w:after="0"/>
            </w:pPr>
            <w:r>
              <w:rPr>
                <w:b/>
                <w:bCs/>
                <w:i w:val="false"/>
                <w:iCs w:val="false"/>
              </w:rPr>
              <w:t xml:space="preserve">Records</w:t>
            </w:r>
          </w:p>
        </w:tc>
      </w:tr>
      <w:tr>
        <w:tc>
          <w:tcPr>
            <w:tcW w:type="dxa" w:w="2340"/>
            <w:tcMar>
              <w:top w:type="dxa" w:w="80"/>
              <w:left w:type="dxa" w:w="100"/>
              <w:bottom w:type="dxa" w:w="80"/>
              <w:right w:type="dxa" w:w="100"/>
            </w:tcMar>
          </w:tcPr>
          <w:p>
            <w:pPr>
              <w:spacing w:after="0"/>
            </w:pPr>
            <w:r>
              <w:rPr>
                <w:b w:val="false"/>
                <w:bCs w:val="false"/>
                <w:i w:val="false"/>
                <w:iCs w:val="false"/>
              </w:rPr>
              <w:t xml:space="preserve">CamHR</w:t>
            </w:r>
          </w:p>
        </w:tc>
        <w:tc>
          <w:tcPr>
            <w:tcW w:type="dxa" w:w="2340"/>
            <w:tcMar>
              <w:top w:type="dxa" w:w="80"/>
              <w:left w:type="dxa" w:w="100"/>
              <w:bottom w:type="dxa" w:w="80"/>
              <w:right w:type="dxa" w:w="100"/>
            </w:tcMar>
          </w:tcPr>
          <w:p>
            <w:pPr>
              <w:spacing w:after="0"/>
            </w:pPr>
            <w:r>
              <w:rPr>
                <w:b w:val="false"/>
                <w:bCs w:val="false"/>
                <w:i w:val="false"/>
                <w:iCs w:val="false"/>
              </w:rPr>
              <w:t xml:space="preserve">24</w:t>
            </w:r>
          </w:p>
        </w:tc>
        <w:tc>
          <w:tcPr>
            <w:tcW w:type="dxa" w:w="2340"/>
            <w:tcMar>
              <w:top w:type="dxa" w:w="80"/>
              <w:left w:type="dxa" w:w="100"/>
              <w:bottom w:type="dxa" w:w="80"/>
              <w:right w:type="dxa" w:w="100"/>
            </w:tcMar>
          </w:tcPr>
          <w:p>
            <w:pPr>
              <w:spacing w:after="0"/>
            </w:pPr>
            <w:r>
              <w:rPr>
                <w:b w:val="false"/>
                <w:bCs w:val="false"/>
                <w:i w:val="false"/>
                <w:iCs w:val="false"/>
              </w:rPr>
              <w:t xml:space="preserve">KH</w:t>
            </w:r>
          </w:p>
        </w:tc>
        <w:tc>
          <w:tcPr>
            <w:tcW w:type="dxa" w:w="2340"/>
            <w:tcMar>
              <w:top w:type="dxa" w:w="80"/>
              <w:left w:type="dxa" w:w="100"/>
              <w:bottom w:type="dxa" w:w="80"/>
              <w:right w:type="dxa" w:w="100"/>
            </w:tcMar>
          </w:tcPr>
          <w:p>
            <w:pPr>
              <w:spacing w:after="0"/>
            </w:pPr>
            <w:r>
              <w:rPr>
                <w:b w:val="false"/>
                <w:bCs w:val="false"/>
                <w:i w:val="false"/>
                <w:iCs w:val="false"/>
              </w:rPr>
              <w:t xml:space="preserve">38</w:t>
            </w:r>
          </w:p>
        </w:tc>
      </w:tr>
      <w:tr>
        <w:tc>
          <w:tcPr>
            <w:tcW w:type="dxa" w:w="2340"/>
            <w:tcMar>
              <w:top w:type="dxa" w:w="80"/>
              <w:left w:type="dxa" w:w="100"/>
              <w:bottom w:type="dxa" w:w="80"/>
              <w:right w:type="dxa" w:w="100"/>
            </w:tcMar>
          </w:tcPr>
          <w:p>
            <w:pPr>
              <w:spacing w:after="0"/>
            </w:pPr>
            <w:r>
              <w:rPr>
                <w:b w:val="false"/>
                <w:bCs w:val="false"/>
                <w:i w:val="false"/>
                <w:iCs w:val="false"/>
              </w:rPr>
              <w:t xml:space="preserve">BongThom</w:t>
            </w:r>
          </w:p>
        </w:tc>
        <w:tc>
          <w:tcPr>
            <w:tcW w:type="dxa" w:w="2340"/>
            <w:tcMar>
              <w:top w:type="dxa" w:w="80"/>
              <w:left w:type="dxa" w:w="100"/>
              <w:bottom w:type="dxa" w:w="80"/>
              <w:right w:type="dxa" w:w="100"/>
            </w:tcMar>
          </w:tcPr>
          <w:p>
            <w:pPr>
              <w:spacing w:after="0"/>
            </w:pPr>
            <w:r>
              <w:rPr>
                <w:b w:val="false"/>
                <w:bCs w:val="false"/>
                <w:i w:val="false"/>
                <w:iCs w:val="false"/>
              </w:rPr>
              <w:t xml:space="preserve">14</w:t>
            </w:r>
          </w:p>
        </w:tc>
        <w:tc>
          <w:tcPr>
            <w:tcW w:type="dxa" w:w="2340"/>
            <w:tcMar>
              <w:top w:type="dxa" w:w="80"/>
              <w:left w:type="dxa" w:w="100"/>
              <w:bottom w:type="dxa" w:w="80"/>
              <w:right w:type="dxa" w:w="100"/>
            </w:tcMar>
          </w:tcPr>
          <w:p>
            <w:pPr>
              <w:spacing w:after="0"/>
            </w:pPr>
            <w:r>
              <w:rPr>
                <w:b w:val="false"/>
                <w:bCs w:val="false"/>
                <w:i w:val="false"/>
                <w:iCs w:val="false"/>
              </w:rPr>
              <w:t xml:space="preserve">REMOTE</w:t>
            </w:r>
          </w:p>
        </w:tc>
        <w:tc>
          <w:tcPr>
            <w:tcW w:type="dxa" w:w="2340"/>
            <w:tcMar>
              <w:top w:type="dxa" w:w="80"/>
              <w:left w:type="dxa" w:w="100"/>
              <w:bottom w:type="dxa" w:w="80"/>
              <w:right w:type="dxa" w:w="100"/>
            </w:tcMar>
          </w:tcPr>
          <w:p>
            <w:pPr>
              <w:spacing w:after="0"/>
            </w:pPr>
            <w:r>
              <w:rPr>
                <w:b w:val="false"/>
                <w:bCs w:val="false"/>
                <w:i w:val="false"/>
                <w:iCs w:val="false"/>
              </w:rPr>
              <w:t xml:space="preserve">3</w:t>
            </w:r>
          </w:p>
        </w:tc>
      </w:tr>
      <w:tr>
        <w:tc>
          <w:tcPr>
            <w:tcW w:type="dxa" w:w="2340"/>
            <w:tcMar>
              <w:top w:type="dxa" w:w="80"/>
              <w:left w:type="dxa" w:w="100"/>
              <w:bottom w:type="dxa" w:w="80"/>
              <w:right w:type="dxa" w:w="100"/>
            </w:tcMar>
          </w:tcPr>
          <w:p>
            <w:pPr>
              <w:spacing w:after="0"/>
            </w:pPr>
            <w:r>
              <w:rPr>
                <w:b w:val="false"/>
                <w:bCs w:val="false"/>
                <w:i w:val="false"/>
                <w:iCs w:val="false"/>
              </w:rPr>
              <w:t xml:space="preserve">RemoteOK</w:t>
            </w:r>
          </w:p>
        </w:tc>
        <w:tc>
          <w:tcPr>
            <w:tcW w:type="dxa" w:w="2340"/>
            <w:tcMar>
              <w:top w:type="dxa" w:w="80"/>
              <w:left w:type="dxa" w:w="100"/>
              <w:bottom w:type="dxa" w:w="80"/>
              <w:right w:type="dxa" w:w="100"/>
            </w:tcMar>
          </w:tcPr>
          <w:p>
            <w:pPr>
              <w:spacing w:after="0"/>
            </w:pPr>
            <w:r>
              <w:rPr>
                <w:b w:val="false"/>
                <w:bCs w:val="false"/>
                <w:i w:val="false"/>
                <w:iCs w:val="false"/>
              </w:rPr>
              <w:t xml:space="preserve">3</w:t>
            </w:r>
          </w:p>
        </w:tc>
        <w:tc>
          <w:tcPr>
            <w:tcW w:type="dxa" w:w="2340"/>
            <w:tcMar>
              <w:top w:type="dxa" w:w="80"/>
              <w:left w:type="dxa" w:w="100"/>
              <w:bottom w:type="dxa" w:w="80"/>
              <w:right w:type="dxa" w:w="100"/>
            </w:tcMar>
          </w:tcPr>
          <w:p>
            <w:pPr>
              <w:spacing w:after="0"/>
            </w:pPr>
            <w:r>
              <w:rPr>
                <w:b w:val="false"/>
                <w:bCs w:val="false"/>
                <w:i w:val="false"/>
                <w:iCs w:val="false"/>
              </w:rPr>
              <w:t xml:space="preserve">unlabelled</w:t>
            </w:r>
          </w:p>
        </w:tc>
        <w:tc>
          <w:tcPr>
            <w:tcW w:type="dxa" w:w="2340"/>
            <w:tcMar>
              <w:top w:type="dxa" w:w="80"/>
              <w:left w:type="dxa" w:w="100"/>
              <w:bottom w:type="dxa" w:w="80"/>
              <w:right w:type="dxa" w:w="100"/>
            </w:tcMar>
          </w:tcPr>
          <w:p>
            <w:pPr>
              <w:spacing w:after="0"/>
            </w:pPr>
            <w:r>
              <w:rPr>
                <w:b w:val="false"/>
                <w:bCs w:val="false"/>
                <w:i w:val="false"/>
                <w:iCs w:val="false"/>
              </w:rPr>
              <w:t xml:space="preserve">3</w:t>
            </w:r>
          </w:p>
        </w:tc>
      </w:tr>
      <w:tr>
        <w:tc>
          <w:tcPr>
            <w:tcW w:type="dxa" w:w="2340"/>
            <w:tcMar>
              <w:top w:type="dxa" w:w="80"/>
              <w:left w:type="dxa" w:w="100"/>
              <w:bottom w:type="dxa" w:w="80"/>
              <w:right w:type="dxa" w:w="100"/>
            </w:tcMar>
          </w:tcPr>
          <w:p>
            <w:pPr>
              <w:spacing w:after="0"/>
            </w:pPr>
            <w:r>
              <w:rPr>
                <w:b w:val="false"/>
                <w:bCs w:val="false"/>
                <w:i w:val="false"/>
                <w:iCs w:val="false"/>
              </w:rPr>
              <w:t xml:space="preserve">Arbeitnow</w:t>
            </w:r>
          </w:p>
        </w:tc>
        <w:tc>
          <w:tcPr>
            <w:tcW w:type="dxa" w:w="2340"/>
            <w:tcMar>
              <w:top w:type="dxa" w:w="80"/>
              <w:left w:type="dxa" w:w="100"/>
              <w:bottom w:type="dxa" w:w="80"/>
              <w:right w:type="dxa" w:w="100"/>
            </w:tcMar>
          </w:tcPr>
          <w:p>
            <w:pPr>
              <w:spacing w:after="0"/>
            </w:pPr>
            <w:r>
              <w:rPr>
                <w:b w:val="false"/>
                <w:bCs w:val="false"/>
                <w:i w:val="false"/>
                <w:iCs w:val="false"/>
              </w:rPr>
              <w:t xml:space="preserve">3</w:t>
            </w:r>
          </w:p>
        </w:tc>
        <w:tc>
          <w:tcPr>
            <w:tcW w:type="dxa" w:w="2340"/>
            <w:tcMar>
              <w:top w:type="dxa" w:w="80"/>
              <w:left w:type="dxa" w:w="100"/>
              <w:bottom w:type="dxa" w:w="80"/>
              <w:right w:type="dxa" w:w="100"/>
            </w:tcMar>
          </w:tcPr>
          <w:p>
            <w:pPr>
              <w:spacing w:after="0"/>
            </w:pPr>
            <w:r>
              <w:rPr>
                <w:b w:val="false"/>
                <w:bCs w:val="false"/>
                <w:i w:val="false"/>
                <w:iCs w:val="false"/>
              </w:rPr>
              <w:t xml:space="preserve"/>
            </w:r>
          </w:p>
        </w:tc>
        <w:tc>
          <w:tcPr>
            <w:tcW w:type="dxa" w:w="2340"/>
            <w:tcMar>
              <w:top w:type="dxa" w:w="80"/>
              <w:left w:type="dxa" w:w="100"/>
              <w:bottom w:type="dxa" w:w="80"/>
              <w:right w:type="dxa" w:w="100"/>
            </w:tcMar>
          </w:tcPr>
          <w:p>
            <w:pPr>
              <w:spacing w:after="0"/>
            </w:pPr>
            <w:r>
              <w:rPr>
                <w:b w:val="false"/>
                <w:bCs w:val="false"/>
                <w:i w:val="false"/>
                <w:iCs w:val="false"/>
              </w:rPr>
              <w:t xml:space="preserve"/>
            </w:r>
          </w:p>
        </w:tc>
      </w:tr>
    </w:tbl>
    <w:p>
      <w:pPr>
        <w:spacing w:before="120"/>
      </w:pPr>
      <w:r>
        <w:rPr>
          <w:b w:val="false"/>
          <w:bCs w:val="false"/>
          <w:i w:val="false"/>
          <w:iCs w:val="false"/>
        </w:rPr>
        <w:t xml:space="preserve">Two qualifications matter more than the headline count:</w:t>
      </w:r>
    </w:p>
    <w:p>
      <w:pPr>
        <w:pStyle w:val="ListParagraph"/>
        <w:numPr>
          <w:ilvl w:val="0"/>
          <w:numId w:val="2"/>
        </w:numPr>
        <w:spacing w:after="100"/>
      </w:pPr>
      <w:r>
        <w:rPr>
          <w:b/>
          <w:bCs/>
          <w:i w:val="false"/>
          <w:iCs w:val="false"/>
        </w:rPr>
        <w:t xml:space="preserve">The geographic mix does not match the demo story.</w:t>
      </w:r>
      <w:r>
        <w:rPr>
          <w:b w:val="false"/>
          <w:bCs w:val="false"/>
          <w:i w:val="false"/>
          <w:iCs w:val="false"/>
        </w:rPr>
        <w:t xml:space="preserve"> The plan asked for 5 local, 5 Singapore/Japan/Australia, 5 remote-US. Actual: 38 Cambodian, 3 remote, and zero Singapore, Japan, or Australia listings. F6 (country rules) and the cross-border differentiator both depend on JDs that have not been collected.</w:t>
      </w:r>
    </w:p>
    <w:p>
      <w:pPr>
        <w:pStyle w:val="ListParagraph"/>
        <w:numPr>
          <w:ilvl w:val="0"/>
          <w:numId w:val="2"/>
        </w:numPr>
        <w:spacing w:after="100"/>
      </w:pPr>
      <w:r>
        <w:rPr>
          <w:b/>
          <w:bCs/>
          <w:i w:val="false"/>
          <w:iCs w:val="false"/>
        </w:rPr>
        <w:t xml:space="preserve">The three individual JD files are synthetic.</w:t>
      </w:r>
      <w:r>
        <w:rPr>
          <w:b w:val="false"/>
          <w:bCs w:val="false"/>
          <w:i w:val="false"/>
          <w:iCs w:val="false"/>
        </w:rPr>
        <w:t xml:space="preserve"> data/jds/*.txt are hand-written stand-ins — source.json flags each with “synthetic”: true and the note “Hand-written stand-in until real JDs are collected”. The golden fixtures, and therefore every demo and screenshot to date, are built on these rather than on the 25 real listings sitting in the CSVs.</w:t>
      </w:r>
    </w:p>
    <w:p>
      <w:pPr>
        <w:spacing w:before="120"/>
      </w:pPr>
      <w:r>
        <w:rPr>
          <w:b/>
          <w:bCs/>
          <w:i w:val="false"/>
          <w:iCs w:val="false"/>
        </w:rPr>
        <w:t xml:space="preserve">Resumes — 1 of 5.</w:t>
      </w:r>
      <w:r>
        <w:rPr>
          <w:b w:val="false"/>
          <w:bCs w:val="false"/>
          <w:i w:val="false"/>
          <w:iCs w:val="false"/>
        </w:rPr>
        <w:t xml:space="preserve"> data/resumes/anonymized/candidate_a.txt only; raw/ is empty. eval/consent_form.md exists as a bilingual template but is unsigned and unfilled. The plan explicitly notes these consents are reused for the Phase 6 evaluation study.</w:t>
      </w:r>
    </w:p>
    <w:p>
      <w:pPr>
        <w:pBdr>
          <w:bottom w:val="single" w:color="B9AE9C" w:sz="6" w:space="4"/>
        </w:pBdr>
        <w:spacing w:after="240" w:before="120"/>
      </w:pPr>
    </w:p>
    <w:p>
      <w:pPr>
        <w:pStyle w:val="Heading1"/>
        <w:spacing w:after="160" w:before="360"/>
      </w:pPr>
      <w:r>
        <w:t xml:space="preserve">3. Phase 1 — Fixtures, Types, Shell Screens</w:t>
      </w:r>
    </w:p>
    <w:p>
      <w:pPr>
        <w:spacing w:after="160"/>
      </w:pPr>
      <w:r>
        <w:rPr>
          <w:b/>
          <w:bCs/>
          <w:i w:val="false"/>
          <w:iCs w:val="false"/>
        </w:rPr>
        <w:t xml:space="preserve">Goal: </w:t>
      </w:r>
      <w:r>
        <w:rPr>
          <w:b w:val="false"/>
          <w:bCs w:val="false"/>
          <w:i w:val="false"/>
          <w:iCs w:val="false"/>
        </w:rPr>
        <w:t xml:space="preserve">build every screen without Person A’s engine existing, so the engine slots in with zero UI changes when it 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5460"/>
      </w:tblGrid>
      <w:tr>
        <w:trPr>
          <w:tblHeader/>
        </w:trPr>
        <w:tc>
          <w:tcPr>
            <w:tcW w:type="dxa" w:w="500"/>
            <w:shd w:fill="EDE7DD" w:color="auto" w:val="clear"/>
            <w:tcMar>
              <w:top w:type="dxa" w:w="80"/>
              <w:left w:type="dxa" w:w="100"/>
              <w:bottom w:type="dxa" w:w="80"/>
              <w:right w:type="dxa" w:w="100"/>
            </w:tcMar>
          </w:tcPr>
          <w:p>
            <w:pPr>
              <w:spacing w:after="0"/>
            </w:pPr>
            <w:r>
              <w:rPr>
                <w:b/>
                <w:bCs/>
                <w:i w:val="false"/>
                <w:iCs w:val="false"/>
              </w:rPr>
              <w:t xml:space="preserve">#</w:t>
            </w:r>
          </w:p>
        </w:tc>
        <w:tc>
          <w:tcPr>
            <w:tcW w:type="dxa" w:w="2000"/>
            <w:shd w:fill="EDE7DD" w:color="auto" w:val="clear"/>
            <w:tcMar>
              <w:top w:type="dxa" w:w="80"/>
              <w:left w:type="dxa" w:w="100"/>
              <w:bottom w:type="dxa" w:w="80"/>
              <w:right w:type="dxa" w:w="100"/>
            </w:tcMar>
          </w:tcPr>
          <w:p>
            <w:pPr>
              <w:spacing w:after="0"/>
            </w:pPr>
            <w:r>
              <w:rPr>
                <w:b/>
                <w:bCs/>
                <w:i w:val="false"/>
                <w:iCs w:val="false"/>
              </w:rPr>
              <w:t xml:space="preserve">Deliverable</w:t>
            </w:r>
          </w:p>
        </w:tc>
        <w:tc>
          <w:tcPr>
            <w:tcW w:type="dxa" w:w="1400"/>
            <w:shd w:fill="EDE7DD" w:color="auto" w:val="clear"/>
            <w:tcMar>
              <w:top w:type="dxa" w:w="80"/>
              <w:left w:type="dxa" w:w="100"/>
              <w:bottom w:type="dxa" w:w="80"/>
              <w:right w:type="dxa" w:w="100"/>
            </w:tcMar>
          </w:tcPr>
          <w:p>
            <w:pPr>
              <w:spacing w:after="0"/>
            </w:pPr>
            <w:r>
              <w:rPr>
                <w:b/>
                <w:bCs/>
                <w:i w:val="false"/>
                <w:iCs w:val="false"/>
              </w:rPr>
              <w:t xml:space="preserve">Status</w:t>
            </w:r>
          </w:p>
        </w:tc>
        <w:tc>
          <w:tcPr>
            <w:tcW w:type="dxa" w:w="5460"/>
            <w:shd w:fill="EDE7DD" w:color="auto" w:val="clear"/>
            <w:tcMar>
              <w:top w:type="dxa" w:w="80"/>
              <w:left w:type="dxa" w:w="100"/>
              <w:bottom w:type="dxa" w:w="80"/>
              <w:right w:type="dxa" w:w="100"/>
            </w:tcMar>
          </w:tcPr>
          <w:p>
            <w:pPr>
              <w:spacing w:after="0"/>
            </w:pPr>
            <w:r>
              <w:rPr>
                <w:b/>
                <w:bCs/>
                <w:i w:val="false"/>
                <w:iCs w:val="false"/>
              </w:rPr>
              <w:t xml:space="preserve">Evidence / gap</w:t>
            </w:r>
          </w:p>
        </w:tc>
      </w:tr>
      <w:tr>
        <w:tc>
          <w:tcPr>
            <w:tcW w:type="dxa" w:w="500"/>
            <w:tcMar>
              <w:top w:type="dxa" w:w="80"/>
              <w:left w:type="dxa" w:w="100"/>
              <w:bottom w:type="dxa" w:w="80"/>
              <w:right w:type="dxa" w:w="100"/>
            </w:tcMar>
          </w:tcPr>
          <w:p>
            <w:pPr>
              <w:spacing w:after="0"/>
            </w:pPr>
            <w:r>
              <w:rPr>
                <w:b w:val="false"/>
                <w:bCs w:val="false"/>
                <w:i w:val="false"/>
                <w:iCs w:val="false"/>
              </w:rPr>
              <w:t xml:space="preserve">1</w:t>
            </w:r>
          </w:p>
        </w:tc>
        <w:tc>
          <w:tcPr>
            <w:tcW w:type="dxa" w:w="2000"/>
            <w:tcMar>
              <w:top w:type="dxa" w:w="80"/>
              <w:left w:type="dxa" w:w="100"/>
              <w:bottom w:type="dxa" w:w="80"/>
              <w:right w:type="dxa" w:w="100"/>
            </w:tcMar>
          </w:tcPr>
          <w:p>
            <w:pPr>
              <w:spacing w:after="0"/>
            </w:pPr>
            <w:r>
              <w:rPr>
                <w:b w:val="false"/>
                <w:bCs w:val="false"/>
                <w:i w:val="false"/>
                <w:iCs w:val="false"/>
              </w:rPr>
              <w:t xml:space="preserve">CP1 — schema locked with Person A</w:t>
            </w:r>
          </w:p>
        </w:tc>
        <w:tc>
          <w:tcPr>
            <w:tcW w:type="dxa" w:w="1400"/>
            <w:tcMar>
              <w:top w:type="dxa" w:w="80"/>
              <w:left w:type="dxa" w:w="100"/>
              <w:bottom w:type="dxa" w:w="80"/>
              <w:right w:type="dxa" w:w="100"/>
            </w:tcMar>
          </w:tcPr>
          <w:p>
            <w:pPr>
              <w:spacing w:after="0"/>
            </w:pPr>
            <w:r>
              <w:rPr>
                <w:b/>
                <w:bCs/>
                <w:i w:val="false"/>
                <w:iCs w:val="false"/>
              </w:rPr>
              <w:t xml:space="preserve">Provisional</w:t>
            </w:r>
          </w:p>
        </w:tc>
        <w:tc>
          <w:tcPr>
            <w:tcW w:type="dxa" w:w="5460"/>
            <w:tcMar>
              <w:top w:type="dxa" w:w="80"/>
              <w:left w:type="dxa" w:w="100"/>
              <w:bottom w:type="dxa" w:w="80"/>
              <w:right w:type="dxa" w:w="100"/>
            </w:tcMar>
          </w:tcPr>
          <w:p>
            <w:pPr>
              <w:spacing w:after="0"/>
            </w:pPr>
            <w:r>
              <w:rPr>
                <w:b w:val="false"/>
                <w:bCs w:val="false"/>
                <w:i w:val="false"/>
                <w:iCs w:val="false"/>
              </w:rPr>
              <w:t xml:space="preserve">engine/normalize/schema.py exists and is the working contract, marked 0.1.0-provisional. Not yet jointly locked in a CP1 session.</w:t>
            </w:r>
          </w:p>
        </w:tc>
      </w:tr>
      <w:tr>
        <w:tc>
          <w:tcPr>
            <w:tcW w:type="dxa" w:w="500"/>
            <w:tcMar>
              <w:top w:type="dxa" w:w="80"/>
              <w:left w:type="dxa" w:w="100"/>
              <w:bottom w:type="dxa" w:w="80"/>
              <w:right w:type="dxa" w:w="100"/>
            </w:tcMar>
          </w:tcPr>
          <w:p>
            <w:pPr>
              <w:spacing w:after="0"/>
            </w:pPr>
            <w:r>
              <w:rPr>
                <w:b w:val="false"/>
                <w:bCs w:val="false"/>
                <w:i w:val="false"/>
                <w:iCs w:val="false"/>
              </w:rPr>
              <w:t xml:space="preserve">2</w:t>
            </w:r>
          </w:p>
        </w:tc>
        <w:tc>
          <w:tcPr>
            <w:tcW w:type="dxa" w:w="2000"/>
            <w:tcMar>
              <w:top w:type="dxa" w:w="80"/>
              <w:left w:type="dxa" w:w="100"/>
              <w:bottom w:type="dxa" w:w="80"/>
              <w:right w:type="dxa" w:w="100"/>
            </w:tcMar>
          </w:tcPr>
          <w:p>
            <w:pPr>
              <w:spacing w:after="0"/>
            </w:pPr>
            <w:r>
              <w:rPr>
                <w:b w:val="false"/>
                <w:bCs w:val="false"/>
                <w:i w:val="false"/>
                <w:iCs w:val="false"/>
              </w:rPr>
              <w:t xml:space="preserve">Generated TypeScript types</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scripts/gen-types.sh → web/lib/schema.json → web/lib/types.ts (generated, never hand-edited). CI workflow present (.github/workflows/ci.yml).</w:t>
            </w:r>
          </w:p>
        </w:tc>
      </w:tr>
      <w:tr>
        <w:tc>
          <w:tcPr>
            <w:tcW w:type="dxa" w:w="500"/>
            <w:tcMar>
              <w:top w:type="dxa" w:w="80"/>
              <w:left w:type="dxa" w:w="100"/>
              <w:bottom w:type="dxa" w:w="80"/>
              <w:right w:type="dxa" w:w="100"/>
            </w:tcMar>
          </w:tcPr>
          <w:p>
            <w:pPr>
              <w:spacing w:after="0"/>
            </w:pPr>
            <w:r>
              <w:rPr>
                <w:b w:val="false"/>
                <w:bCs w:val="false"/>
                <w:i w:val="false"/>
                <w:iCs w:val="false"/>
              </w:rPr>
              <w:t xml:space="preserve">3</w:t>
            </w:r>
          </w:p>
        </w:tc>
        <w:tc>
          <w:tcPr>
            <w:tcW w:type="dxa" w:w="2000"/>
            <w:tcMar>
              <w:top w:type="dxa" w:w="80"/>
              <w:left w:type="dxa" w:w="100"/>
              <w:bottom w:type="dxa" w:w="80"/>
              <w:right w:type="dxa" w:w="100"/>
            </w:tcMar>
          </w:tcPr>
          <w:p>
            <w:pPr>
              <w:spacing w:after="0"/>
            </w:pPr>
            <w:r>
              <w:rPr>
                <w:b w:val="false"/>
                <w:bCs w:val="false"/>
                <w:i w:val="false"/>
                <w:iCs w:val="false"/>
              </w:rPr>
              <w:t xml:space="preserve">Three golden fixtures + validation test</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data/fixtures/{fresh_grad_strong_fit,fresh_grad_stretch,unrealistic}.json, validated by tests/test_fixtures.py (schema conformance, verdict-per-requirement, distinct realism verdicts)</w:t>
            </w:r>
          </w:p>
        </w:tc>
      </w:tr>
      <w:tr>
        <w:tc>
          <w:tcPr>
            <w:tcW w:type="dxa" w:w="500"/>
            <w:tcMar>
              <w:top w:type="dxa" w:w="80"/>
              <w:left w:type="dxa" w:w="100"/>
              <w:bottom w:type="dxa" w:w="80"/>
              <w:right w:type="dxa" w:w="100"/>
            </w:tcMar>
          </w:tcPr>
          <w:p>
            <w:pPr>
              <w:spacing w:after="0"/>
            </w:pPr>
            <w:r>
              <w:rPr>
                <w:b w:val="false"/>
                <w:bCs w:val="false"/>
                <w:i w:val="false"/>
                <w:iCs w:val="false"/>
              </w:rPr>
              <w:t xml:space="preserve">4</w:t>
            </w:r>
          </w:p>
        </w:tc>
        <w:tc>
          <w:tcPr>
            <w:tcW w:type="dxa" w:w="2000"/>
            <w:tcMar>
              <w:top w:type="dxa" w:w="80"/>
              <w:left w:type="dxa" w:w="100"/>
              <w:bottom w:type="dxa" w:w="80"/>
              <w:right w:type="dxa" w:w="100"/>
            </w:tcMar>
          </w:tcPr>
          <w:p>
            <w:pPr>
              <w:spacing w:after="0"/>
            </w:pPr>
            <w:r>
              <w:rPr>
                <w:b w:val="false"/>
                <w:bCs w:val="false"/>
                <w:i w:val="false"/>
                <w:iCs w:val="false"/>
              </w:rPr>
              <w:t xml:space="preserve">FastAPI mock mode</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ENGINE_MODE=mock|live; POST /api/resumes, POST /api/jobs, POST /api/analyses, GET /api/analyses/{id}; in-memory store, BackgroundTasks, artificial delay so loading states are honest</w:t>
            </w:r>
          </w:p>
        </w:tc>
      </w:tr>
      <w:tr>
        <w:tc>
          <w:tcPr>
            <w:tcW w:type="dxa" w:w="500"/>
            <w:tcMar>
              <w:top w:type="dxa" w:w="80"/>
              <w:left w:type="dxa" w:w="100"/>
              <w:bottom w:type="dxa" w:w="80"/>
              <w:right w:type="dxa" w:w="100"/>
            </w:tcMar>
          </w:tcPr>
          <w:p>
            <w:pPr>
              <w:spacing w:after="0"/>
            </w:pPr>
            <w:r>
              <w:rPr>
                <w:b w:val="false"/>
                <w:bCs w:val="false"/>
                <w:i w:val="false"/>
                <w:iCs w:val="false"/>
              </w:rPr>
              <w:t xml:space="preserve">5</w:t>
            </w:r>
          </w:p>
        </w:tc>
        <w:tc>
          <w:tcPr>
            <w:tcW w:type="dxa" w:w="2000"/>
            <w:tcMar>
              <w:top w:type="dxa" w:w="80"/>
              <w:left w:type="dxa" w:w="100"/>
              <w:bottom w:type="dxa" w:w="80"/>
              <w:right w:type="dxa" w:w="100"/>
            </w:tcMar>
          </w:tcPr>
          <w:p>
            <w:pPr>
              <w:spacing w:after="0"/>
            </w:pPr>
            <w:r>
              <w:rPr>
                <w:b w:val="false"/>
                <w:bCs w:val="false"/>
                <w:i w:val="false"/>
                <w:iCs w:val="false"/>
              </w:rPr>
              <w:t xml:space="preserve">Screens v0 (Landing, Analyze, Results)</w:t>
            </w:r>
          </w:p>
        </w:tc>
        <w:tc>
          <w:tcPr>
            <w:tcW w:type="dxa" w:w="1400"/>
            <w:tcMar>
              <w:top w:type="dxa" w:w="80"/>
              <w:left w:type="dxa" w:w="100"/>
              <w:bottom w:type="dxa" w:w="80"/>
              <w:right w:type="dxa" w:w="100"/>
            </w:tcMar>
          </w:tcPr>
          <w:p>
            <w:pPr>
              <w:spacing w:after="0"/>
            </w:pPr>
            <w:r>
              <w:rPr>
                <w:b/>
                <w:bCs/>
                <w:i w:val="false"/>
                <w:iCs w:val="false"/>
              </w:rPr>
              <w:t xml:space="preserve">Done</w:t>
            </w:r>
          </w:p>
        </w:tc>
        <w:tc>
          <w:tcPr>
            <w:tcW w:type="dxa" w:w="5460"/>
            <w:tcMar>
              <w:top w:type="dxa" w:w="80"/>
              <w:left w:type="dxa" w:w="100"/>
              <w:bottom w:type="dxa" w:w="80"/>
              <w:right w:type="dxa" w:w="100"/>
            </w:tcMar>
          </w:tcPr>
          <w:p>
            <w:pPr>
              <w:spacing w:after="0"/>
            </w:pPr>
            <w:r>
              <w:rPr>
                <w:b w:val="false"/>
                <w:bCs w:val="false"/>
                <w:i w:val="false"/>
                <w:iCs w:val="false"/>
              </w:rPr>
              <w:t xml:space="preserve">Five screens built: Landing, Analyze, Progress, Results, About</w:t>
            </w:r>
          </w:p>
        </w:tc>
      </w:tr>
      <w:tr>
        <w:tc>
          <w:tcPr>
            <w:tcW w:type="dxa" w:w="500"/>
            <w:tcMar>
              <w:top w:type="dxa" w:w="80"/>
              <w:left w:type="dxa" w:w="100"/>
              <w:bottom w:type="dxa" w:w="80"/>
              <w:right w:type="dxa" w:w="100"/>
            </w:tcMar>
          </w:tcPr>
          <w:p>
            <w:pPr>
              <w:spacing w:after="0"/>
            </w:pPr>
            <w:r>
              <w:rPr>
                <w:b w:val="false"/>
                <w:bCs w:val="false"/>
                <w:i w:val="false"/>
                <w:iCs w:val="false"/>
              </w:rPr>
              <w:t xml:space="preserve">6</w:t>
            </w:r>
          </w:p>
        </w:tc>
        <w:tc>
          <w:tcPr>
            <w:tcW w:type="dxa" w:w="2000"/>
            <w:tcMar>
              <w:top w:type="dxa" w:w="80"/>
              <w:left w:type="dxa" w:w="100"/>
              <w:bottom w:type="dxa" w:w="80"/>
              <w:right w:type="dxa" w:w="100"/>
            </w:tcMar>
          </w:tcPr>
          <w:p>
            <w:pPr>
              <w:spacing w:after="0"/>
            </w:pPr>
            <w:r>
              <w:rPr>
                <w:b w:val="false"/>
                <w:bCs w:val="false"/>
                <w:i w:val="false"/>
                <w:iCs w:val="false"/>
              </w:rPr>
              <w:t xml:space="preserve">i18n discipline</w:t>
            </w:r>
          </w:p>
        </w:tc>
        <w:tc>
          <w:tcPr>
            <w:tcW w:type="dxa" w:w="1400"/>
            <w:tcMar>
              <w:top w:type="dxa" w:w="80"/>
              <w:left w:type="dxa" w:w="100"/>
              <w:bottom w:type="dxa" w:w="80"/>
              <w:right w:type="dxa" w:w="100"/>
            </w:tcMar>
          </w:tcPr>
          <w:p>
            <w:pPr>
              <w:spacing w:after="0"/>
            </w:pPr>
            <w:r>
              <w:rPr>
                <w:b/>
                <w:bCs/>
                <w:i w:val="false"/>
                <w:iCs w:val="false"/>
              </w:rPr>
              <w:t xml:space="preserve">Partial</w:t>
            </w:r>
          </w:p>
        </w:tc>
        <w:tc>
          <w:tcPr>
            <w:tcW w:type="dxa" w:w="5460"/>
            <w:tcMar>
              <w:top w:type="dxa" w:w="80"/>
              <w:left w:type="dxa" w:w="100"/>
              <w:bottom w:type="dxa" w:w="80"/>
              <w:right w:type="dxa" w:w="100"/>
            </w:tcMar>
          </w:tcPr>
          <w:p>
            <w:pPr>
              <w:spacing w:after="0"/>
            </w:pPr>
            <w:r>
              <w:rPr>
                <w:b w:val="false"/>
                <w:bCs w:val="false"/>
                <w:i w:val="false"/>
                <w:iCs w:val="false"/>
              </w:rPr>
              <w:t xml:space="preserve">scripts/i18n-check.mjs enforces key parity and reports 0 errors. The planned ESLint rule failing CI on raw JSX string literals was not added.</w:t>
            </w:r>
          </w:p>
        </w:tc>
      </w:tr>
      <w:tr>
        <w:tc>
          <w:tcPr>
            <w:tcW w:type="dxa" w:w="500"/>
            <w:tcMar>
              <w:top w:type="dxa" w:w="80"/>
              <w:left w:type="dxa" w:w="100"/>
              <w:bottom w:type="dxa" w:w="80"/>
              <w:right w:type="dxa" w:w="100"/>
            </w:tcMar>
          </w:tcPr>
          <w:p>
            <w:pPr>
              <w:spacing w:after="0"/>
            </w:pPr>
            <w:r>
              <w:rPr>
                <w:b w:val="false"/>
                <w:bCs w:val="false"/>
                <w:i w:val="false"/>
                <w:iCs w:val="false"/>
              </w:rPr>
              <w:t xml:space="preserve">7</w:t>
            </w:r>
          </w:p>
        </w:tc>
        <w:tc>
          <w:tcPr>
            <w:tcW w:type="dxa" w:w="2000"/>
            <w:tcMar>
              <w:top w:type="dxa" w:w="80"/>
              <w:left w:type="dxa" w:w="100"/>
              <w:bottom w:type="dxa" w:w="80"/>
              <w:right w:type="dxa" w:w="100"/>
            </w:tcMar>
          </w:tcPr>
          <w:p>
            <w:pPr>
              <w:spacing w:after="0"/>
            </w:pPr>
            <w:r>
              <w:rPr>
                <w:b w:val="false"/>
                <w:bCs w:val="false"/>
                <w:i w:val="false"/>
                <w:iCs w:val="false"/>
              </w:rPr>
              <w:t xml:space="preserve">First real deploy + keep-alive</w:t>
            </w:r>
          </w:p>
        </w:tc>
        <w:tc>
          <w:tcPr>
            <w:tcW w:type="dxa" w:w="1400"/>
            <w:tcMar>
              <w:top w:type="dxa" w:w="80"/>
              <w:left w:type="dxa" w:w="100"/>
              <w:bottom w:type="dxa" w:w="80"/>
              <w:right w:type="dxa" w:w="100"/>
            </w:tcMar>
          </w:tcPr>
          <w:p>
            <w:pPr>
              <w:spacing w:after="0"/>
            </w:pPr>
            <w:r>
              <w:rPr>
                <w:b/>
                <w:bCs/>
                <w:i w:val="false"/>
                <w:iCs w:val="false"/>
              </w:rPr>
              <w:t xml:space="preserve">Partial</w:t>
            </w:r>
          </w:p>
        </w:tc>
        <w:tc>
          <w:tcPr>
            <w:tcW w:type="dxa" w:w="5460"/>
            <w:tcMar>
              <w:top w:type="dxa" w:w="80"/>
              <w:left w:type="dxa" w:w="100"/>
              <w:bottom w:type="dxa" w:w="80"/>
              <w:right w:type="dxa" w:w="100"/>
            </w:tcMar>
          </w:tcPr>
          <w:p>
            <w:pPr>
              <w:spacing w:after="0"/>
            </w:pPr>
            <w:r>
              <w:rPr>
                <w:b w:val="false"/>
                <w:bCs w:val="false"/>
                <w:i w:val="false"/>
                <w:iCs w:val="false"/>
              </w:rPr>
              <w:t xml:space="preserve">.github/workflows/keepalive.yml exists; no live deployment.</w:t>
            </w:r>
          </w:p>
        </w:tc>
      </w:tr>
    </w:tbl>
    <w:p>
      <w:pPr>
        <w:spacing w:before="120"/>
      </w:pPr>
      <w:r>
        <w:rPr>
          <w:b w:val="false"/>
          <w:bCs w:val="false"/>
          <w:i w:val="false"/>
          <w:iCs w:val="false"/>
        </w:rPr>
        <w:t xml:space="preserve">Carried into Phase 2: the mock store is explicitly non-durable (in-memory, resets on process restart) and is scheduled for replacement by Supabase at CP2.</w:t>
      </w:r>
    </w:p>
    <w:p>
      <w:pPr>
        <w:pBdr>
          <w:bottom w:val="single" w:color="B9AE9C" w:sz="6" w:space="4"/>
        </w:pBdr>
        <w:spacing w:after="240" w:before="120"/>
      </w:pPr>
    </w:p>
    <w:p>
      <w:pPr>
        <w:pStyle w:val="Heading1"/>
        <w:spacing w:after="160" w:before="360"/>
      </w:pPr>
      <w:r>
        <w:t xml:space="preserve">4. Phase 2 — The Results Experience</w:t>
      </w:r>
    </w:p>
    <w:p>
      <w:pPr>
        <w:spacing w:after="160"/>
      </w:pPr>
      <w:r>
        <w:rPr>
          <w:b/>
          <w:bCs/>
          <w:i w:val="false"/>
          <w:iCs w:val="false"/>
        </w:rPr>
        <w:t xml:space="preserve">Goal: </w:t>
      </w:r>
      <w:r>
        <w:rPr>
          <w:b w:val="false"/>
          <w:bCs w:val="false"/>
          <w:i w:val="false"/>
          <w:iCs w:val="false"/>
        </w:rPr>
        <w:t xml:space="preserve">finish the screen the examiner will stare at, before the engine behind it exists.</w:t>
      </w:r>
    </w:p>
    <w:p>
      <w:pPr>
        <w:spacing w:after="160"/>
      </w:pPr>
      <w:r>
        <w:rPr>
          <w:b w:val="false"/>
          <w:bCs w:val="false"/>
          <w:i w:val="false"/>
          <w:iCs w:val="false"/>
        </w:rPr>
        <w:t xml:space="preserve">Executed as a written 13-task plan (docs/superpowers/plans/2026-09-14-phase-2-results-experience.md), one task at a time, each with an independent review before the next began, plus a final whole-branch review. 26 commits, merged to main at efe489a.</w:t>
      </w:r>
    </w:p>
    <w:p>
      <w:pPr>
        <w:pStyle w:val="Heading2"/>
        <w:spacing w:after="120" w:before="260"/>
      </w:pPr>
      <w:r>
        <w:t xml:space="preserve">What shipped</w:t>
      </w:r>
    </w:p>
    <w:p>
      <w:pPr>
        <w:spacing w:after="160"/>
      </w:pPr>
      <w:r>
        <w:rPr>
          <w:b/>
          <w:bCs/>
          <w:i w:val="false"/>
          <w:iCs w:val="false"/>
        </w:rPr>
        <w:t xml:space="preserve">Error handling — a real contract, not ad-hoc messages.</w:t>
      </w:r>
      <w:r>
        <w:rPr>
          <w:b w:val="false"/>
          <w:bCs w:val="false"/>
          <w:i w:val="false"/>
          <w:iCs w:val="false"/>
        </w:rPr>
        <w:t xml:space="preserve"> docs/errors.md had specified a ten-code error contract before any of it was built; Phase 2 implemented it. A typed ApiError (api/errors.py) now produces one envelope everywhere — {"error": {"code", "message", "error_id"}} — and every route raises it (no bare HTTPException remains anywhere in api/routes/). The frontend switches on code, never on message text, and renders localized copy from a new ten-key errors.* catalogue. Each code routes to the right place in the UI: file-type and size rejections appear inline under the resume dropzone, empty-job-post errors under the JD tabs (with focus moved to the field), a missing analysis gets a full-page state with a way back, and an engine failure gets an error card carrying Retry and a copyable error id.</w:t>
      </w:r>
    </w:p>
    <w:p>
      <w:pPr>
        <w:spacing w:after="160"/>
      </w:pPr>
      <w:r>
        <w:rPr>
          <w:b/>
          <w:bCs/>
          <w:i w:val="false"/>
          <w:iCs w:val="false"/>
        </w:rPr>
        <w:t xml:space="preserve">Keyword-baseline comparison — the evaluation chapter’s argument, made visible.</w:t>
      </w:r>
      <w:r>
        <w:rPr>
          <w:b w:val="false"/>
          <w:bCs w:val="false"/>
          <w:i w:val="false"/>
          <w:iCs w:val="false"/>
        </w:rPr>
        <w:t xml:space="preserve"> Hand-authored TF-IDF baseline fixtures now pair with each golden fixture (separate sibling files; the schema forbids extra keys, so they could not be merged in). A results-screen toggle shows the naive matcher’s verdict beside the real engine’s for every requirement, plus both aggregate scores side by side.</w:t>
      </w:r>
    </w:p>
    <w:p>
      <w:pPr>
        <w:spacing w:after="160"/>
      </w:pPr>
      <w:r>
        <w:rPr>
          <w:b/>
          <w:bCs/>
          <w:i w:val="false"/>
          <w:iCs w:val="false"/>
        </w:rPr>
        <w:t xml:space="preserve">Evidence-type storytelling — the product’s core differentiator, stated on screen.</w:t>
      </w:r>
      <w:r>
        <w:rPr>
          <w:b w:val="false"/>
          <w:bCs w:val="false"/>
          <w:i w:val="false"/>
          <w:iCs w:val="false"/>
        </w:rPr>
        <w:t xml:space="preserve"> When a requirement is only partly proven by a class project, coursework, or part-time work, the UI now explains why it counts partially and not fully — in the register BRAND.md §6 prescribes: name the claim and its limit in the same breath.</w:t>
      </w:r>
    </w:p>
    <w:p>
      <w:pPr>
        <w:spacing w:after="160"/>
      </w:pPr>
      <w:r>
        <w:rPr>
          <w:b/>
          <w:bCs/>
          <w:i w:val="false"/>
          <w:iCs w:val="false"/>
        </w:rPr>
        <w:t xml:space="preserve">Progress stepper — three honest states instead of one dead end.</w:t>
      </w:r>
      <w:r>
        <w:rPr>
          <w:b w:val="false"/>
          <w:bCs w:val="false"/>
          <w:i w:val="false"/>
          <w:iCs w:val="false"/>
        </w:rPr>
        <w:t xml:space="preserve"> A real 120-second client-side ceiling, distinct from a server-reported failure. Hitting the ceiling offers “keep waiting” (the analysis may still finish) rather than discarding work; a genuine failure offers Retry against a new POST /api/analyses/{id}/retry endpoint that reuses the original resume, job, and country, so nothing is re-uploaded.</w:t>
      </w:r>
    </w:p>
    <w:p>
      <w:pPr>
        <w:spacing w:after="160"/>
      </w:pPr>
      <w:r>
        <w:rPr>
          <w:b/>
          <w:bCs/>
          <w:i w:val="false"/>
          <w:iCs w:val="false"/>
        </w:rPr>
        <w:t xml:space="preserve">Recovered work.</w:t>
      </w:r>
      <w:r>
        <w:rPr>
          <w:b w:val="false"/>
          <w:bCs w:val="false"/>
          <w:i w:val="false"/>
          <w:iCs w:val="false"/>
        </w:rPr>
        <w:t xml:space="preserve"> A “remember the last uploaded resume” feature had been built earlier but never committed, and was stranded outside the working branch. It was recovered and re-merged.</w:t>
      </w:r>
    </w:p>
    <w:p>
      <w:pPr>
        <w:pStyle w:val="Heading2"/>
        <w:spacing w:after="120" w:before="260"/>
      </w:pPr>
      <w:r>
        <w:t xml:space="preserve">A finding worth carrying into the report</w:t>
      </w:r>
    </w:p>
    <w:p>
      <w:pPr>
        <w:spacing w:after="160"/>
      </w:pPr>
      <w:r>
        <w:rPr>
          <w:b w:val="false"/>
          <w:bCs w:val="false"/>
          <w:i w:val="false"/>
          <w:iCs w:val="false"/>
        </w:rPr>
        <w:t xml:space="preserve">The baseline comparison was expected to show the engine beating naive keyword matching everywhere. Derived honestly and consistently, it does not: on fresh_grad_strong_fit the engine leads by 19.2 points, but on fresh_grad_stretch the gap narrows to 2.5, and on unrealistic the naive matcher actually outscores the engine by 4.2.</w:t>
      </w:r>
    </w:p>
    <w:p>
      <w:pPr>
        <w:spacing w:after="160"/>
      </w:pPr>
      <w:r>
        <w:rPr>
          <w:b w:val="false"/>
          <w:bCs w:val="false"/>
          <w:i w:val="false"/>
          <w:iCs w:val="false"/>
        </w:rPr>
        <w:t xml:space="preserve">This is not a defect. Those two postings demand depth — </w:t>
      </w:r>
      <w:r>
        <w:rPr>
          <w:b w:val="false"/>
          <w:bCs w:val="false"/>
          <w:i/>
          <w:iCs/>
        </w:rPr>
        <w:t xml:space="preserve">years of professional production experience</w:t>
      </w:r>
      <w:r>
        <w:rPr>
          <w:b w:val="false"/>
          <w:bCs w:val="false"/>
          <w:i w:val="false"/>
          <w:iCs w:val="false"/>
        </w:rPr>
        <w:t xml:space="preserve">, CI/CD pipelines — while the candidate’s resume happens to contain the words “React”, “API”, and “pipeline” from unrelated class projects. A keyword matcher cannot tell a class project from two years of paid work; the engine’s F4 rules correctly refuse the credit. The naive matcher does not merely lose — </w:t>
      </w:r>
      <w:r>
        <w:rPr>
          <w:b/>
          <w:bCs/>
          <w:i w:val="false"/>
          <w:iCs w:val="false"/>
        </w:rPr>
        <w:t xml:space="preserve">on demanding postings it misleads the candidate into believing they are a better fit than they are</w:t>
      </w:r>
      <w:r>
        <w:rPr>
          <w:b w:val="false"/>
          <w:bCs w:val="false"/>
          <w:i w:val="false"/>
          <w:iCs w:val="false"/>
        </w:rPr>
        <w:t xml:space="preserve"> — which is a stronger argument for requirement-level matching than a uniform win would have been.</w:t>
      </w:r>
    </w:p>
    <w:p>
      <w:pPr>
        <w:spacing w:after="160"/>
      </w:pPr>
      <w:r>
        <w:rPr>
          <w:b w:val="false"/>
          <w:bCs w:val="false"/>
          <w:i w:val="false"/>
          <w:iCs w:val="false"/>
        </w:rPr>
        <w:t xml:space="preserve">The test suite now asserts this pattern directly rather than a “baseline always loses” invariant, and web/lib/fixtures/sample-baseline.ts documents the derivation rule so the numbers can be defended under questioning.</w:t>
      </w:r>
    </w:p>
    <w:p>
      <w:pPr>
        <w:pStyle w:val="Heading2"/>
        <w:spacing w:after="120" w:before="260"/>
      </w:pPr>
      <w:r>
        <w:t xml:space="preserve">Deliberately out of scope</w:t>
      </w:r>
    </w:p>
    <w:p>
      <w:pPr>
        <w:spacing w:after="160"/>
      </w:pPr>
      <w:r>
        <w:rPr>
          <w:b w:val="false"/>
          <w:bCs w:val="false"/>
          <w:i w:val="false"/>
          <w:iCs w:val="false"/>
        </w:rPr>
        <w:t xml:space="preserve">Two of the plan’s seven Phase 2 tasks were not attempted:</w:t>
      </w:r>
    </w:p>
    <w:p>
      <w:pPr>
        <w:pStyle w:val="ListParagraph"/>
        <w:numPr>
          <w:ilvl w:val="0"/>
          <w:numId w:val="2"/>
        </w:numPr>
        <w:spacing w:after="100"/>
      </w:pPr>
      <w:r>
        <w:rPr>
          <w:b/>
          <w:bCs/>
          <w:i w:val="false"/>
          <w:iCs w:val="false"/>
        </w:rPr>
        <w:t xml:space="preserve">Wire the live engine (CP2).</w:t>
      </w:r>
      <w:r>
        <w:rPr>
          <w:b w:val="false"/>
          <w:bCs w:val="false"/>
          <w:i w:val="false"/>
          <w:iCs w:val="false"/>
        </w:rPr>
        <w:t xml:space="preserve"> engine/match/run_match and run_baseline both still raise NotImplementedError — they are Person A’s, and unfinished. There is nothing to wire. engine/ was left completely untouched by this phase.</w:t>
      </w:r>
    </w:p>
    <w:p>
      <w:pPr>
        <w:pStyle w:val="ListParagraph"/>
        <w:numPr>
          <w:ilvl w:val="0"/>
          <w:numId w:val="2"/>
        </w:numPr>
        <w:spacing w:after="100"/>
      </w:pPr>
      <w:r>
        <w:rPr>
          <w:b/>
          <w:bCs/>
          <w:i w:val="false"/>
          <w:iCs w:val="false"/>
        </w:rPr>
        <w:t xml:space="preserve">Deploy live mode.</w:t>
      </w:r>
      <w:r>
        <w:rPr>
          <w:b w:val="false"/>
          <w:bCs w:val="false"/>
          <w:i w:val="false"/>
          <w:iCs w:val="false"/>
        </w:rPr>
        <w:t xml:space="preserve"> Follows the above.</w:t>
      </w:r>
    </w:p>
    <w:p>
      <w:pPr>
        <w:spacing w:before="120"/>
      </w:pPr>
      <w:r>
        <w:rPr>
          <w:b w:val="false"/>
          <w:bCs w:val="false"/>
          <w:i w:val="false"/>
          <w:iCs w:val="false"/>
        </w:rPr>
        <w:t xml:space="preserve">Both are picked up at CP2. Everything else in Phase 2 was built against mock mode, which is exactly what the phase was designed to allow.</w:t>
      </w:r>
    </w:p>
    <w:p>
      <w:pPr>
        <w:pStyle w:val="Heading2"/>
        <w:spacing w:after="120" w:before="260"/>
      </w:pPr>
      <w:r>
        <w:t xml:space="preserve">Quality state at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7DD" w:color="auto" w:val="clear"/>
            <w:tcMar>
              <w:top w:type="dxa" w:w="80"/>
              <w:left w:type="dxa" w:w="100"/>
              <w:bottom w:type="dxa" w:w="80"/>
              <w:right w:type="dxa" w:w="100"/>
            </w:tcMar>
          </w:tcPr>
          <w:p>
            <w:pPr>
              <w:spacing w:after="0"/>
            </w:pPr>
            <w:r>
              <w:rPr>
                <w:b/>
                <w:bCs/>
                <w:i w:val="false"/>
                <w:iCs w:val="false"/>
              </w:rPr>
              <w:t xml:space="preserve">Check</w:t>
            </w:r>
          </w:p>
        </w:tc>
        <w:tc>
          <w:tcPr>
            <w:tcW w:type="dxa" w:w="4680"/>
            <w:shd w:fill="EDE7DD" w:color="auto" w:val="clear"/>
            <w:tcMar>
              <w:top w:type="dxa" w:w="80"/>
              <w:left w:type="dxa" w:w="100"/>
              <w:bottom w:type="dxa" w:w="80"/>
              <w:right w:type="dxa" w:w="100"/>
            </w:tcMar>
          </w:tcPr>
          <w:p>
            <w:pPr>
              <w:spacing w:after="0"/>
            </w:pPr>
            <w:r>
              <w:rPr>
                <w:b/>
                <w:bCs/>
                <w:i w:val="false"/>
                <w:iCs w:val="false"/>
              </w:rPr>
              <w:t xml:space="preserve">Result</w:t>
            </w:r>
          </w:p>
        </w:tc>
      </w:tr>
      <w:tr>
        <w:tc>
          <w:tcPr>
            <w:tcW w:type="dxa" w:w="4680"/>
            <w:tcMar>
              <w:top w:type="dxa" w:w="80"/>
              <w:left w:type="dxa" w:w="100"/>
              <w:bottom w:type="dxa" w:w="80"/>
              <w:right w:type="dxa" w:w="100"/>
            </w:tcMar>
          </w:tcPr>
          <w:p>
            <w:pPr>
              <w:spacing w:after="0"/>
            </w:pPr>
            <w:r>
              <w:rPr>
                <w:b w:val="false"/>
                <w:bCs w:val="false"/>
                <w:i w:val="false"/>
                <w:iCs w:val="false"/>
              </w:rPr>
              <w:t xml:space="preserve">Backend tests</w:t>
            </w:r>
          </w:p>
        </w:tc>
        <w:tc>
          <w:tcPr>
            <w:tcW w:type="dxa" w:w="4680"/>
            <w:tcMar>
              <w:top w:type="dxa" w:w="80"/>
              <w:left w:type="dxa" w:w="100"/>
              <w:bottom w:type="dxa" w:w="80"/>
              <w:right w:type="dxa" w:w="100"/>
            </w:tcMar>
          </w:tcPr>
          <w:p>
            <w:pPr>
              <w:spacing w:after="0"/>
            </w:pPr>
            <w:r>
              <w:rPr>
                <w:b w:val="false"/>
                <w:bCs w:val="false"/>
                <w:i w:val="false"/>
                <w:iCs w:val="false"/>
              </w:rPr>
              <w:t xml:space="preserve">27 passed, 0 failed</w:t>
            </w:r>
          </w:p>
        </w:tc>
      </w:tr>
      <w:tr>
        <w:tc>
          <w:tcPr>
            <w:tcW w:type="dxa" w:w="4680"/>
            <w:tcMar>
              <w:top w:type="dxa" w:w="80"/>
              <w:left w:type="dxa" w:w="100"/>
              <w:bottom w:type="dxa" w:w="80"/>
              <w:right w:type="dxa" w:w="100"/>
            </w:tcMar>
          </w:tcPr>
          <w:p>
            <w:pPr>
              <w:spacing w:after="0"/>
            </w:pPr>
            <w:r>
              <w:rPr>
                <w:b w:val="false"/>
                <w:bCs w:val="false"/>
                <w:i w:val="false"/>
                <w:iCs w:val="false"/>
              </w:rPr>
              <w:t xml:space="preserve">Frontend typecheck (tsc --noEmit)</w:t>
            </w:r>
          </w:p>
        </w:tc>
        <w:tc>
          <w:tcPr>
            <w:tcW w:type="dxa" w:w="4680"/>
            <w:tcMar>
              <w:top w:type="dxa" w:w="80"/>
              <w:left w:type="dxa" w:w="100"/>
              <w:bottom w:type="dxa" w:w="80"/>
              <w:right w:type="dxa" w:w="100"/>
            </w:tcMar>
          </w:tcPr>
          <w:p>
            <w:pPr>
              <w:spacing w:after="0"/>
            </w:pPr>
            <w:r>
              <w:rPr>
                <w:b w:val="false"/>
                <w:bCs w:val="false"/>
                <w:i w:val="false"/>
                <w:iCs w:val="false"/>
              </w:rPr>
              <w:t xml:space="preserve">Clean</w:t>
            </w:r>
          </w:p>
        </w:tc>
      </w:tr>
      <w:tr>
        <w:tc>
          <w:tcPr>
            <w:tcW w:type="dxa" w:w="4680"/>
            <w:tcMar>
              <w:top w:type="dxa" w:w="80"/>
              <w:left w:type="dxa" w:w="100"/>
              <w:bottom w:type="dxa" w:w="80"/>
              <w:right w:type="dxa" w:w="100"/>
            </w:tcMar>
          </w:tcPr>
          <w:p>
            <w:pPr>
              <w:spacing w:after="0"/>
            </w:pPr>
            <w:r>
              <w:rPr>
                <w:b w:val="false"/>
                <w:bCs w:val="false"/>
                <w:i w:val="false"/>
                <w:iCs w:val="false"/>
              </w:rPr>
              <w:t xml:space="preserve">Lint (eslint .)</w:t>
            </w:r>
          </w:p>
        </w:tc>
        <w:tc>
          <w:tcPr>
            <w:tcW w:type="dxa" w:w="4680"/>
            <w:tcMar>
              <w:top w:type="dxa" w:w="80"/>
              <w:left w:type="dxa" w:w="100"/>
              <w:bottom w:type="dxa" w:w="80"/>
              <w:right w:type="dxa" w:w="100"/>
            </w:tcMar>
          </w:tcPr>
          <w:p>
            <w:pPr>
              <w:spacing w:after="0"/>
            </w:pPr>
            <w:r>
              <w:rPr>
                <w:b w:val="false"/>
                <w:bCs w:val="false"/>
                <w:i w:val="false"/>
                <w:iCs w:val="false"/>
              </w:rPr>
              <w:t xml:space="preserve">0 errors (1 pre-existing warning in generated types.ts)</w:t>
            </w:r>
          </w:p>
        </w:tc>
      </w:tr>
      <w:tr>
        <w:tc>
          <w:tcPr>
            <w:tcW w:type="dxa" w:w="4680"/>
            <w:tcMar>
              <w:top w:type="dxa" w:w="80"/>
              <w:left w:type="dxa" w:w="100"/>
              <w:bottom w:type="dxa" w:w="80"/>
              <w:right w:type="dxa" w:w="100"/>
            </w:tcMar>
          </w:tcPr>
          <w:p>
            <w:pPr>
              <w:spacing w:after="0"/>
            </w:pPr>
            <w:r>
              <w:rPr>
                <w:b w:val="false"/>
                <w:bCs w:val="false"/>
                <w:i w:val="false"/>
                <w:iCs w:val="false"/>
              </w:rPr>
              <w:t xml:space="preserve">i18n key parity</w:t>
            </w:r>
          </w:p>
        </w:tc>
        <w:tc>
          <w:tcPr>
            <w:tcW w:type="dxa" w:w="4680"/>
            <w:tcMar>
              <w:top w:type="dxa" w:w="80"/>
              <w:left w:type="dxa" w:w="100"/>
              <w:bottom w:type="dxa" w:w="80"/>
              <w:right w:type="dxa" w:w="100"/>
            </w:tcMar>
          </w:tcPr>
          <w:p>
            <w:pPr>
              <w:spacing w:after="0"/>
            </w:pPr>
            <w:r>
              <w:rPr>
                <w:b w:val="false"/>
                <w:bCs w:val="false"/>
                <w:i w:val="false"/>
                <w:iCs w:val="false"/>
              </w:rPr>
              <w:t xml:space="preserve">128 keys, 0 errors</w:t>
            </w:r>
          </w:p>
        </w:tc>
      </w:tr>
    </w:tbl>
    <w:p>
      <w:pPr>
        <w:spacing w:before="120"/>
      </w:pPr>
      <w:r>
        <w:rPr>
          <w:b w:val="false"/>
          <w:bCs w:val="false"/>
          <w:i w:val="false"/>
          <w:iCs w:val="false"/>
        </w:rPr>
        <w:t xml:space="preserve">Four genuine bugs were caught and fixed during review that automated checks would not have found — two of them defects in the plan’s own prescribed code: a fixture-pairing bug that would have compared a resume against one job’s baseline and another job’s match, and a “keep waiting” button that would have silently done nothing. The other two: a test that passed without exercising the code it claimed to test, and developer-facing error strings reaching users.</w:t>
      </w:r>
    </w:p>
    <w:p>
      <w:pPr>
        <w:pBdr>
          <w:bottom w:val="single" w:color="B9AE9C" w:sz="6" w:space="4"/>
        </w:pBdr>
        <w:spacing w:after="240" w:before="120"/>
      </w:pPr>
    </w:p>
    <w:p>
      <w:pPr>
        <w:pStyle w:val="Heading1"/>
        <w:spacing w:after="160" w:before="360"/>
      </w:pPr>
      <w:r>
        <w:t xml:space="preserve">5. Outstanding items, in priority order</w:t>
      </w:r>
    </w:p>
    <w:p>
      <w:pPr>
        <w:spacing w:after="160"/>
      </w:pPr>
      <w:r>
        <w:rPr>
          <w:b w:val="false"/>
          <w:bCs w:val="false"/>
          <w:i w:val="false"/>
          <w:iCs w:val="false"/>
        </w:rPr>
        <w:t xml:space="preserve">Ordered by how much they gate later work, not by effort.</w:t>
      </w:r>
    </w:p>
    <w:p>
      <w:pPr>
        <w:pStyle w:val="ListParagraph"/>
        <w:numPr>
          <w:ilvl w:val="0"/>
          <w:numId w:val="3"/>
        </w:numPr>
        <w:spacing w:after="100"/>
      </w:pPr>
      <w:r>
        <w:rPr>
          <w:b/>
          <w:bCs/>
          <w:i w:val="false"/>
          <w:iCs w:val="false"/>
        </w:rPr>
        <w:t xml:space="preserve">Collect consented resumes (4 more).</w:t>
      </w:r>
      <w:r>
        <w:rPr>
          <w:b w:val="false"/>
          <w:bCs w:val="false"/>
          <w:i w:val="false"/>
          <w:iCs w:val="false"/>
        </w:rPr>
        <w:t xml:space="preserve"> Phase 6’s evaluation study depends on these, and the plan says to book raters in Week 11 — but the resumes must exist first. The consent template is ready; this is purely a matter of asking classmates. Longest lead time of anything on this list.</w:t>
      </w:r>
    </w:p>
    <w:p>
      <w:pPr>
        <w:pStyle w:val="ListParagraph"/>
        <w:numPr>
          <w:ilvl w:val="0"/>
          <w:numId w:val="3"/>
        </w:numPr>
        <w:spacing w:after="100"/>
      </w:pPr>
      <w:r>
        <w:rPr>
          <w:b/>
          <w:bCs/>
          <w:i w:val="false"/>
          <w:iCs w:val="false"/>
        </w:rPr>
        <w:t xml:space="preserve">Collect Singapore / Japan / Australia JDs.</w:t>
      </w:r>
      <w:r>
        <w:rPr>
          <w:b w:val="false"/>
          <w:bCs w:val="false"/>
          <w:i w:val="false"/>
          <w:iCs w:val="false"/>
        </w:rPr>
        <w:t xml:space="preserve"> Currently zero. F6 country rules and the cross-border differentiator — a headline claim on the landing page — have no data behind them.</w:t>
      </w:r>
    </w:p>
    <w:p>
      <w:pPr>
        <w:pStyle w:val="ListParagraph"/>
        <w:numPr>
          <w:ilvl w:val="0"/>
          <w:numId w:val="3"/>
        </w:numPr>
        <w:spacing w:after="100"/>
      </w:pPr>
      <w:r>
        <w:rPr>
          <w:b/>
          <w:bCs/>
          <w:i w:val="false"/>
          <w:iCs w:val="false"/>
        </w:rPr>
        <w:t xml:space="preserve">CP1 — lock the schema with Person A.</w:t>
      </w:r>
      <w:r>
        <w:rPr>
          <w:b w:val="false"/>
          <w:bCs w:val="false"/>
          <w:i w:val="false"/>
          <w:iCs w:val="false"/>
        </w:rPr>
        <w:t xml:space="preserve"> Currently provisional. Everything downstream depends on it, and the longer it stays unlocked the more expensive a change becomes.</w:t>
      </w:r>
    </w:p>
    <w:p>
      <w:pPr>
        <w:pStyle w:val="ListParagraph"/>
        <w:numPr>
          <w:ilvl w:val="0"/>
          <w:numId w:val="3"/>
        </w:numPr>
        <w:spacing w:after="100"/>
      </w:pPr>
      <w:r>
        <w:rPr>
          <w:b/>
          <w:bCs/>
          <w:i w:val="false"/>
          <w:iCs w:val="false"/>
        </w:rPr>
        <w:t xml:space="preserve">Stand up the live deployment.</w:t>
      </w:r>
      <w:r>
        <w:rPr>
          <w:b w:val="false"/>
          <w:bCs w:val="false"/>
          <w:i w:val="false"/>
          <w:iCs w:val="false"/>
        </w:rPr>
        <w:t xml:space="preserve"> Vercel + Render, per deploy/runbook.md. The plan wanted a live URL in the proposal document; the keep-alive workflow is already written and waiting for something to keep alive.</w:t>
      </w:r>
    </w:p>
    <w:p>
      <w:pPr>
        <w:pStyle w:val="ListParagraph"/>
        <w:numPr>
          <w:ilvl w:val="0"/>
          <w:numId w:val="3"/>
        </w:numPr>
        <w:spacing w:after="100"/>
      </w:pPr>
      <w:r>
        <w:rPr>
          <w:b/>
          <w:bCs/>
          <w:i w:val="false"/>
          <w:iCs w:val="false"/>
        </w:rPr>
        <w:t xml:space="preserve">Rebuild the fixtures on real JDs.</w:t>
      </w:r>
      <w:r>
        <w:rPr>
          <w:b w:val="false"/>
          <w:bCs w:val="false"/>
          <w:i w:val="false"/>
          <w:iCs w:val="false"/>
        </w:rPr>
        <w:t xml:space="preserve"> The demo currently runs on synthetic stand-ins. Twenty-five real listings are already collected and unused.</w:t>
      </w:r>
    </w:p>
    <w:p>
      <w:pPr>
        <w:pStyle w:val="ListParagraph"/>
        <w:numPr>
          <w:ilvl w:val="0"/>
          <w:numId w:val="3"/>
        </w:numPr>
        <w:spacing w:after="100"/>
      </w:pPr>
      <w:r>
        <w:rPr>
          <w:b/>
          <w:bCs/>
          <w:i w:val="false"/>
          <w:iCs w:val="false"/>
        </w:rPr>
        <w:t xml:space="preserve">Draw the wireframes and run the classmate feedback round.</w:t>
      </w:r>
      <w:r>
        <w:rPr>
          <w:b w:val="false"/>
          <w:bCs w:val="false"/>
          <w:i w:val="false"/>
          <w:iCs w:val="false"/>
        </w:rPr>
        <w:t xml:space="preserve"> Five screens are already built, so this is now partly retrospective — but the feedback round still has value, and the plan counts it as a deliverable.</w:t>
      </w:r>
    </w:p>
    <w:p>
      <w:pPr>
        <w:pStyle w:val="ListParagraph"/>
        <w:numPr>
          <w:ilvl w:val="0"/>
          <w:numId w:val="3"/>
        </w:numPr>
        <w:spacing w:after="100"/>
      </w:pPr>
      <w:r>
        <w:rPr>
          <w:b/>
          <w:bCs/>
          <w:i w:val="false"/>
          <w:iCs w:val="false"/>
        </w:rPr>
        <w:t xml:space="preserve">Add the raw-JSX-string ESLint rule</w:t>
      </w:r>
      <w:r>
        <w:rPr>
          <w:b w:val="false"/>
          <w:bCs w:val="false"/>
          <w:i w:val="false"/>
          <w:iCs w:val="false"/>
        </w:rPr>
        <w:t xml:space="preserve"> so i18n discipline is enforced by CI rather than by habit.</w:t>
      </w:r>
    </w:p>
    <w:p>
      <w:pPr>
        <w:pStyle w:val="Heading2"/>
        <w:spacing w:after="120" w:before="260"/>
      </w:pPr>
      <w:r>
        <w:t xml:space="preserve">Known minor items, deliberately deferred</w:t>
      </w:r>
    </w:p>
    <w:p>
      <w:pPr>
        <w:spacing w:after="160"/>
      </w:pPr>
      <w:r>
        <w:rPr>
          <w:b w:val="false"/>
          <w:bCs w:val="false"/>
          <w:i w:val="false"/>
          <w:iCs w:val="false"/>
        </w:rPr>
        <w:t xml:space="preserve">Roughly two dozen minor findings were raised during Phase 2 reviews and consciously parked as non-blocking — a duplicated coverage label, a doc clause broader than the behaviour it describes, a missing regression test for one recently fixed edge case. They are recorded in the commit history and the plan document. None affect correctness.</w:t>
      </w:r>
    </w:p>
    <w:p>
      <w:pPr>
        <w:spacing w:after="160"/>
      </w:pPr>
      <w:r>
        <w:rPr>
          <w:b w:val="false"/>
          <w:bCs w:val="false"/>
          <w:i w:val="false"/>
          <w:iCs w:val="false"/>
        </w:rPr>
        <w:t xml:space="preserve">One larger deferred item worth naming: </w:t>
      </w:r>
      <w:r>
        <w:rPr>
          <w:b/>
          <w:bCs/>
          <w:i w:val="false"/>
          <w:iCs w:val="false"/>
        </w:rPr>
        <w:t xml:space="preserve">web/messages/km.json contains no actual Khmer.</w:t>
      </w:r>
      <w:r>
        <w:rPr>
          <w:b w:val="false"/>
          <w:bCs w:val="false"/>
          <w:i w:val="false"/>
          <w:iCs w:val="false"/>
        </w:rPr>
        <w:t xml:space="preserve"> All 128 keys are byte-identical to the English. This is intentional and tracked — docs/errors.md §4 and the plan both schedule a Khmer QA session with Khmer-first speakers for Phase 5 — but it does mean the bilingual claim is currently structural, not substantive.</w:t>
      </w:r>
    </w:p>
    <w:p>
      <w:pPr>
        <w:pBdr>
          <w:bottom w:val="single" w:color="B9AE9C" w:sz="6" w:space="4"/>
        </w:pBdr>
        <w:spacing w:after="240" w:before="120"/>
      </w:pPr>
    </w:p>
    <w:p>
      <w:pPr>
        <w:pStyle w:val="Heading1"/>
        <w:spacing w:after="160" w:before="360"/>
      </w:pPr>
      <w:r>
        <w:t xml:space="preserve">6. Next checkpoint</w:t>
      </w:r>
    </w:p>
    <w:p>
      <w:pPr>
        <w:spacing w:after="160"/>
      </w:pPr>
      <w:r>
        <w:rPr>
          <w:b/>
          <w:bCs/>
          <w:i w:val="false"/>
          <w:iCs w:val="false"/>
        </w:rPr>
        <w:t xml:space="preserve">CP2 — wire the live engine.</w:t>
      </w:r>
      <w:r>
        <w:rPr>
          <w:b w:val="false"/>
          <w:bCs w:val="false"/>
          <w:i w:val="false"/>
          <w:iCs w:val="false"/>
        </w:rPr>
        <w:t xml:space="preserve"> Blocked on Person A delivering run_match / run_baseline. When it lands, the work is: flip ENGINE_MODE=live, call the contract functions from the background task, replace the in-memory store with Supabase, and reconcile any place the live output differs from the fixtures — fixing the fixture, never the UI.</w:t>
      </w:r>
    </w:p>
    <w:p>
      <w:pPr>
        <w:spacing w:after="160"/>
      </w:pPr>
      <w:r>
        <w:rPr>
          <w:b w:val="false"/>
          <w:bCs w:val="false"/>
          <w:i w:val="false"/>
          <w:iCs w:val="false"/>
        </w:rPr>
        <w:t xml:space="preserve">The whole point of Phase 2’s mock-mode design is that this is a single integration step rather than a rebuild. Until then, Phase 3 work (URL ingestion, analysis history, and the F5 rewrite engine — which is Person B’s to build, not Person A’s) can proceed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2B2118"/>
      <w:sz w:val="40"/>
      <w:szCs w:val="40"/>
    </w:rPr>
  </w:style>
  <w:style w:type="paragraph" w:styleId="Heading1">
    <w:name w:val="Heading 1"/>
    <w:basedOn w:val="Normal"/>
    <w:next w:val="Normal"/>
    <w:pPr>
      <w:pBdr>
        <w:bottom w:val="single" w:color="B9AE9C" w:sz="4" w:space="4"/>
      </w:pBdr>
      <w:spacing w:after="160" w:before="360"/>
    </w:pPr>
    <w:rPr>
      <w:b/>
      <w:bCs/>
      <w:color w:val="2B2118"/>
      <w:sz w:val="28"/>
      <w:szCs w:val="28"/>
    </w:rPr>
  </w:style>
  <w:style w:type="paragraph" w:styleId="Heading2">
    <w:name w:val="Heading 2"/>
    <w:basedOn w:val="Normal"/>
    <w:next w:val="Normal"/>
    <w:pPr>
      <w:spacing w:after="120" w:before="260"/>
    </w:pPr>
    <w:rPr>
      <w:b/>
      <w:bCs/>
      <w:color w:val="2B21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2026-09-15T03:27:17.355Z</dcterms:created>
  <dcterms:modified xsi:type="dcterms:W3CDTF">2026-09-15T03:27:17.366Z</dcterms:modified>
</cp:coreProperties>
</file>

<file path=docProps/custom.xml><?xml version="1.0" encoding="utf-8"?>
<Properties xmlns="http://schemas.openxmlformats.org/officeDocument/2006/custom-properties" xmlns:vt="http://schemas.openxmlformats.org/officeDocument/2006/docPropsVTypes"/>
</file>