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194B" w14:textId="77777777" w:rsidR="00B91042" w:rsidRDefault="00000000">
      <w:pPr>
        <w:pStyle w:val="Title"/>
        <w:jc w:val="center"/>
      </w:pPr>
      <w:r>
        <w:t>QUY CHẾ HỌC VỤ - ĐẠI HỌC CÔNG NGHIỆP TP.HCM (IUH)</w:t>
      </w:r>
    </w:p>
    <w:p w14:paraId="77375837" w14:textId="77777777" w:rsidR="00B91042" w:rsidRDefault="00000000">
      <w:pPr>
        <w:pStyle w:val="Heading1"/>
      </w:pPr>
      <w:r>
        <w:t>1. Quy định điểm đạt</w:t>
      </w:r>
    </w:p>
    <w:p w14:paraId="21402D7E" w14:textId="77777777" w:rsidR="00B91042" w:rsidRDefault="00000000">
      <w:pPr>
        <w:pStyle w:val="ListBullet"/>
      </w:pPr>
      <w:r>
        <w:t>Thang điểm: IUH sử dụng thang điểm 10 cho các điểm thành phần và điểm thi. Điểm tổng kết học phần được chuyển sang thang điểm chữ (A+, A, B+, B, C+, C, D+, D, F) và thang điểm 4.</w:t>
      </w:r>
    </w:p>
    <w:p w14:paraId="361E09D3" w14:textId="77777777" w:rsidR="00B91042" w:rsidRDefault="00000000">
      <w:pPr>
        <w:pStyle w:val="ListBullet"/>
      </w:pPr>
      <w:r>
        <w:t>Điểm đạt: Học phần được coi là đạt nếu có điểm chữ từ D (4.0 - 4.9) trở lên.</w:t>
      </w:r>
    </w:p>
    <w:p w14:paraId="396BAF55" w14:textId="77777777" w:rsidR="00B91042" w:rsidRDefault="00000000">
      <w:pPr>
        <w:pStyle w:val="ListBullet"/>
      </w:pPr>
      <w:r>
        <w:t>Điều kiện khống: Điểm thi kết thúc học phần phải đạt tối thiểu 3.0/10. Nếu điểm thi dưới 3.0, học phần đó bị tính điểm F (không đạt) dù điểm trung bình tổng kết có thể cao hơn.</w:t>
      </w:r>
    </w:p>
    <w:p w14:paraId="733214E3" w14:textId="77777777" w:rsidR="00B91042" w:rsidRDefault="00000000">
      <w:pPr>
        <w:pStyle w:val="Heading1"/>
      </w:pPr>
      <w:r>
        <w:t>2. Cách tính GPA/CPA</w:t>
      </w:r>
    </w:p>
    <w:p w14:paraId="63582D77" w14:textId="77777777" w:rsidR="00B91042" w:rsidRDefault="00000000">
      <w:pPr>
        <w:pStyle w:val="ListBullet"/>
      </w:pPr>
      <w:r>
        <w:t>GPA (Điểm trung bình học kỳ): Tổng (điểm hệ 4 của học phần × số tín chỉ học phần đó) / Tổng số tín chỉ trong học kỳ.</w:t>
      </w:r>
    </w:p>
    <w:p w14:paraId="48D528BD" w14:textId="77777777" w:rsidR="00B91042" w:rsidRDefault="00000000">
      <w:pPr>
        <w:pStyle w:val="ListBullet"/>
      </w:pPr>
      <w:r>
        <w:t>CPA/ĐTBCTL (Điểm trung bình tích lũy): Tính tương tự GPA nhưng tính trên toàn bộ các học phần đã học từ đầu khóa (không tính các môn điều kiện như GDQP, GDTC).</w:t>
      </w:r>
    </w:p>
    <w:p w14:paraId="3488B3D3" w14:textId="77777777" w:rsidR="00B91042" w:rsidRDefault="00000000">
      <w:pPr>
        <w:pStyle w:val="ListBullet"/>
      </w:pPr>
      <w:r>
        <w:t>Quy đổi thang điểm: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1042" w14:paraId="51ADF046" w14:textId="77777777">
        <w:tc>
          <w:tcPr>
            <w:tcW w:w="4320" w:type="dxa"/>
          </w:tcPr>
          <w:p w14:paraId="7B678555" w14:textId="77777777" w:rsidR="00B91042" w:rsidRDefault="00000000">
            <w:r>
              <w:t>A+ (9.0-10): 4.0 / A (8.5-8.9): 3.8</w:t>
            </w:r>
          </w:p>
        </w:tc>
        <w:tc>
          <w:tcPr>
            <w:tcW w:w="4320" w:type="dxa"/>
          </w:tcPr>
          <w:p w14:paraId="4D730C5B" w14:textId="77777777" w:rsidR="00B91042" w:rsidRDefault="00000000">
            <w:r>
              <w:t>B+ (8.0-8.4): 3.5 / B (7.0-7.9): 3.0</w:t>
            </w:r>
          </w:p>
        </w:tc>
      </w:tr>
      <w:tr w:rsidR="00B91042" w14:paraId="5299E75B" w14:textId="77777777">
        <w:tc>
          <w:tcPr>
            <w:tcW w:w="4320" w:type="dxa"/>
          </w:tcPr>
          <w:p w14:paraId="18E798E1" w14:textId="77777777" w:rsidR="00B91042" w:rsidRDefault="00000000">
            <w:r>
              <w:t>C+ (6.0-6.9): 2.5 / C (5.5-5.9): 2.0</w:t>
            </w:r>
          </w:p>
        </w:tc>
        <w:tc>
          <w:tcPr>
            <w:tcW w:w="4320" w:type="dxa"/>
          </w:tcPr>
          <w:p w14:paraId="07E0B55A" w14:textId="77777777" w:rsidR="00B91042" w:rsidRDefault="00000000">
            <w:r>
              <w:t>D+ (5.0-5.4): 1.5 / D (4.0-4.9): 1.0</w:t>
            </w:r>
          </w:p>
        </w:tc>
      </w:tr>
      <w:tr w:rsidR="00B91042" w14:paraId="5ED0470C" w14:textId="77777777">
        <w:tc>
          <w:tcPr>
            <w:tcW w:w="4320" w:type="dxa"/>
          </w:tcPr>
          <w:p w14:paraId="754D6798" w14:textId="77777777" w:rsidR="00B91042" w:rsidRDefault="00000000">
            <w:r>
              <w:t>F (Dưới 4.0): 0.0 (Không đạt)</w:t>
            </w:r>
          </w:p>
        </w:tc>
        <w:tc>
          <w:tcPr>
            <w:tcW w:w="4320" w:type="dxa"/>
          </w:tcPr>
          <w:p w14:paraId="358C34BF" w14:textId="77777777" w:rsidR="00B91042" w:rsidRDefault="00B91042"/>
        </w:tc>
      </w:tr>
      <w:tr w:rsidR="00B91042" w14:paraId="37A5A1CA" w14:textId="77777777">
        <w:tc>
          <w:tcPr>
            <w:tcW w:w="4320" w:type="dxa"/>
          </w:tcPr>
          <w:p w14:paraId="77427205" w14:textId="77777777" w:rsidR="00B91042" w:rsidRDefault="00B91042"/>
        </w:tc>
        <w:tc>
          <w:tcPr>
            <w:tcW w:w="4320" w:type="dxa"/>
          </w:tcPr>
          <w:p w14:paraId="4B1D21C7" w14:textId="77777777" w:rsidR="00B91042" w:rsidRDefault="00B91042"/>
        </w:tc>
      </w:tr>
      <w:tr w:rsidR="00B91042" w14:paraId="145B6565" w14:textId="77777777">
        <w:tc>
          <w:tcPr>
            <w:tcW w:w="4320" w:type="dxa"/>
          </w:tcPr>
          <w:p w14:paraId="683C9BB2" w14:textId="77777777" w:rsidR="00B91042" w:rsidRDefault="00B91042"/>
        </w:tc>
        <w:tc>
          <w:tcPr>
            <w:tcW w:w="4320" w:type="dxa"/>
          </w:tcPr>
          <w:p w14:paraId="782DE948" w14:textId="77777777" w:rsidR="00B91042" w:rsidRDefault="00B91042"/>
        </w:tc>
      </w:tr>
    </w:tbl>
    <w:p w14:paraId="114D9F72" w14:textId="77777777" w:rsidR="00B91042" w:rsidRDefault="00000000">
      <w:pPr>
        <w:pStyle w:val="Heading1"/>
      </w:pPr>
      <w:r>
        <w:t>3. Cách xét cảnh báo học vụ</w:t>
      </w:r>
    </w:p>
    <w:p w14:paraId="69EAA464" w14:textId="77777777" w:rsidR="00B91042" w:rsidRDefault="00000000">
      <w:pPr>
        <w:pStyle w:val="ListBullet"/>
      </w:pPr>
      <w:r>
        <w:t>Sinh viên sẽ bị cảnh báo học vụ nếu rơi vào các trường hợp:</w:t>
      </w:r>
    </w:p>
    <w:p w14:paraId="69B17135" w14:textId="77777777" w:rsidR="00B91042" w:rsidRDefault="00000000">
      <w:pPr>
        <w:pStyle w:val="ListBullet"/>
      </w:pPr>
      <w:r>
        <w:t>Điểm trung bình (GPA): Dưới 0.80 (học kỳ đầu) hoặc dưới 1.00 (các học kỳ tiếp theo).</w:t>
      </w:r>
    </w:p>
    <w:p w14:paraId="5750F923" w14:textId="77777777" w:rsidR="00B91042" w:rsidRDefault="00000000">
      <w:pPr>
        <w:pStyle w:val="ListBullet"/>
      </w:pPr>
      <w:r>
        <w:t>Điểm tích lũy (CPA): Thấp hơn mức quy định theo năm đào tạo (thường dưới 1.2 cho năm 1, 1.4 cho năm 2...).</w:t>
      </w:r>
    </w:p>
    <w:p w14:paraId="5872895B" w14:textId="77777777" w:rsidR="00B91042" w:rsidRDefault="00000000">
      <w:pPr>
        <w:pStyle w:val="ListBullet"/>
      </w:pPr>
      <w:r>
        <w:t>Tín chỉ nợ: Tổng số tín chỉ không đạt trong học kỳ vượt quá 50% khối lượng đăng ký, hoặc nợ đọng quá 24 tín chỉ từ đầu khóa.</w:t>
      </w:r>
    </w:p>
    <w:p w14:paraId="3D0C5980" w14:textId="77777777" w:rsidR="00B91042" w:rsidRDefault="00000000">
      <w:pPr>
        <w:pStyle w:val="ListBullet"/>
      </w:pPr>
      <w:r>
        <w:t>Buộc thôi học: Nếu bị cảnh báo học vụ quá 2 lần liên tiếp.</w:t>
      </w:r>
    </w:p>
    <w:p w14:paraId="1DD25D7E" w14:textId="77777777" w:rsidR="00B91042" w:rsidRDefault="00000000">
      <w:pPr>
        <w:pStyle w:val="Heading1"/>
      </w:pPr>
      <w:r>
        <w:lastRenderedPageBreak/>
        <w:t>4. Điều kiện học lại, cải thiện</w:t>
      </w:r>
    </w:p>
    <w:p w14:paraId="2A596405" w14:textId="77777777" w:rsidR="00B91042" w:rsidRDefault="00000000">
      <w:pPr>
        <w:pStyle w:val="ListBullet"/>
      </w:pPr>
      <w:r>
        <w:t>Học lại: Bắt buộc đối với các học phần bị điểm F.</w:t>
      </w:r>
    </w:p>
    <w:p w14:paraId="425EE4F7" w14:textId="77777777" w:rsidR="00B91042" w:rsidRDefault="00000000">
      <w:pPr>
        <w:pStyle w:val="ListBullet"/>
      </w:pPr>
      <w:r>
        <w:t>Học cải thiện: Áp dụng cho các học phần đã đạt nhưng điểm thấp (D hoặc D+) để nâng điểm trung bình tích lũy. Khi học cải thiện, điểm cao nhất trong các lần học sẽ được chọn để tính điểm tích lũy.</w:t>
      </w:r>
    </w:p>
    <w:p w14:paraId="4D82A6B4" w14:textId="77777777" w:rsidR="00B91042" w:rsidRDefault="00000000">
      <w:pPr>
        <w:pStyle w:val="Heading1"/>
      </w:pPr>
      <w:r>
        <w:t>5. Điều kiện thực tập, khóa luận, tốt nghiệp</w:t>
      </w:r>
    </w:p>
    <w:p w14:paraId="28423277" w14:textId="77AE6973" w:rsidR="00B91042" w:rsidRDefault="00000000">
      <w:pPr>
        <w:pStyle w:val="ListBullet"/>
      </w:pPr>
      <w:r>
        <w:t>Thực tập doanh nghiệp: Thường yêu cầu sinh viên tích lũy tối thiểu khoảng 100 tín chỉ  và không vi phạm kỷ luật.</w:t>
      </w:r>
    </w:p>
    <w:p w14:paraId="0E96C85D" w14:textId="77777777" w:rsidR="00B91042" w:rsidRDefault="00000000">
      <w:pPr>
        <w:pStyle w:val="ListBullet"/>
      </w:pPr>
      <w:r>
        <w:t>Khóa luận tốt nghiệp (Đồ án): Dành cho top sinh viên có điểm tích lũy cao (thường CPA &gt;= 2.5), không có môn bị điểm F. Sinh viên không đủ điều kiện sẽ làm Báo cáo tốt nghiệp hoặc học môn thay thế.</w:t>
      </w:r>
    </w:p>
    <w:p w14:paraId="4991560D" w14:textId="77777777" w:rsidR="00B91042" w:rsidRDefault="00000000">
      <w:pPr>
        <w:pStyle w:val="ListBullet"/>
      </w:pPr>
      <w:r>
        <w:t>Xét tốt nghiệp: Tích lũy đủ số tín chỉ, CPA đạt từ 2.0/4.0 trở lên, có đủ các chứng chỉ điều kiện (GDQP, GDTC, Ngoại ngữ).</w:t>
      </w:r>
    </w:p>
    <w:p w14:paraId="679F0863" w14:textId="77777777" w:rsidR="00B91042" w:rsidRDefault="00000000">
      <w:pPr>
        <w:pStyle w:val="Heading1"/>
      </w:pPr>
      <w:r>
        <w:t>6. Quy định học phần Tiên quyết / Học trước / Song hành</w:t>
      </w:r>
    </w:p>
    <w:p w14:paraId="5B11ABBC" w14:textId="77777777" w:rsidR="00B91042" w:rsidRDefault="00000000">
      <w:pPr>
        <w:pStyle w:val="ListBullet"/>
      </w:pPr>
      <w:r>
        <w:t>Học phần tiên quyết: Phải thi đậu học phần A mới được đăng ký học phần B.</w:t>
      </w:r>
    </w:p>
    <w:p w14:paraId="4FF6291B" w14:textId="77777777" w:rsidR="00B91042" w:rsidRDefault="00000000">
      <w:pPr>
        <w:pStyle w:val="ListBullet"/>
      </w:pPr>
      <w:r>
        <w:t>Học phần học trước: Phải hoàn tất học (có thể rớt nhưng phải có điểm) học phần A mới được đăng ký học phần B.</w:t>
      </w:r>
    </w:p>
    <w:p w14:paraId="3193DA89" w14:textId="77777777" w:rsidR="00B91042" w:rsidRDefault="00000000">
      <w:pPr>
        <w:pStyle w:val="ListBullet"/>
      </w:pPr>
      <w:r>
        <w:t>Học phần song hành: Có thể đăng ký học phần A và B trong cùng một học kỳ.</w:t>
      </w:r>
    </w:p>
    <w:p w14:paraId="10337890" w14:textId="77777777" w:rsidR="00B91042" w:rsidRDefault="00000000">
      <w:pPr>
        <w:pStyle w:val="Heading1"/>
      </w:pPr>
      <w:r>
        <w:t>7. Chuẩn đầu ra Ngoại ngữ</w:t>
      </w:r>
    </w:p>
    <w:p w14:paraId="21A4E808" w14:textId="7501C932" w:rsidR="00B91042" w:rsidRDefault="00000000">
      <w:pPr>
        <w:pStyle w:val="ListBullet"/>
      </w:pPr>
      <w:r>
        <w:t>Đại học chính quy: Thường yêu cầu VSTEP Bậc 3 (B1) hoặc TOEIC 450 trở lên</w:t>
      </w:r>
      <w:r w:rsidR="00D669AB">
        <w:t>.</w:t>
      </w:r>
    </w:p>
    <w:p w14:paraId="4E664BD4" w14:textId="77777777" w:rsidR="00B91042" w:rsidRDefault="00000000">
      <w:pPr>
        <w:pStyle w:val="ListBullet"/>
      </w:pPr>
      <w:r>
        <w:t>Chứng chỉ phải còn hiệu lực tại thời điểm xét tốt nghiệp.</w:t>
      </w:r>
    </w:p>
    <w:sectPr w:rsidR="00B91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673969">
    <w:abstractNumId w:val="8"/>
  </w:num>
  <w:num w:numId="2" w16cid:durableId="407271796">
    <w:abstractNumId w:val="6"/>
  </w:num>
  <w:num w:numId="3" w16cid:durableId="232739455">
    <w:abstractNumId w:val="5"/>
  </w:num>
  <w:num w:numId="4" w16cid:durableId="1499074408">
    <w:abstractNumId w:val="4"/>
  </w:num>
  <w:num w:numId="5" w16cid:durableId="408579295">
    <w:abstractNumId w:val="7"/>
  </w:num>
  <w:num w:numId="6" w16cid:durableId="19474511">
    <w:abstractNumId w:val="3"/>
  </w:num>
  <w:num w:numId="7" w16cid:durableId="148061769">
    <w:abstractNumId w:val="2"/>
  </w:num>
  <w:num w:numId="8" w16cid:durableId="1030497525">
    <w:abstractNumId w:val="1"/>
  </w:num>
  <w:num w:numId="9" w16cid:durableId="63441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F22"/>
    <w:rsid w:val="0029639D"/>
    <w:rsid w:val="00326F90"/>
    <w:rsid w:val="00475872"/>
    <w:rsid w:val="00AA1D8D"/>
    <w:rsid w:val="00B47730"/>
    <w:rsid w:val="00B91042"/>
    <w:rsid w:val="00CB0664"/>
    <w:rsid w:val="00D66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5D334"/>
  <w14:defaultImageDpi w14:val="300"/>
  <w15:docId w15:val="{BC97E4B4-899F-4C5F-89D7-F9AA5F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Xuân Thiên</cp:lastModifiedBy>
  <cp:revision>3</cp:revision>
  <dcterms:created xsi:type="dcterms:W3CDTF">2013-12-23T23:15:00Z</dcterms:created>
  <dcterms:modified xsi:type="dcterms:W3CDTF">2026-04-06T15:44:00Z</dcterms:modified>
  <cp:category/>
</cp:coreProperties>
</file>