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CD" w:rsidRDefault="007E29CD" w:rsidP="00D61706">
      <w:r>
        <w:t xml:space="preserve">FONTE: </w:t>
      </w:r>
      <w:hyperlink r:id="rId5" w:history="1">
        <w:r w:rsidRPr="00B20D72">
          <w:rPr>
            <w:rStyle w:val="Hyperlink"/>
          </w:rPr>
          <w:t>http://baudaeletronica.blogspot.com.br/2011/09/pinagem-da-rs232c.html</w:t>
        </w:r>
      </w:hyperlink>
      <w:proofErr w:type="gramStart"/>
      <w:r>
        <w:t xml:space="preserve"> ,</w:t>
      </w:r>
      <w:proofErr w:type="gramEnd"/>
      <w:r>
        <w:t>acesso: 02/12/2012</w:t>
      </w:r>
    </w:p>
    <w:p w:rsidR="00D61706" w:rsidRDefault="00D61706" w:rsidP="00D61706">
      <w:r w:rsidRPr="00D61706">
        <w:t>A RS-232,</w:t>
      </w:r>
      <w:proofErr w:type="gramStart"/>
      <w:r w:rsidRPr="00D61706">
        <w:t xml:space="preserve">  </w:t>
      </w:r>
      <w:proofErr w:type="gramEnd"/>
      <w:r w:rsidRPr="00D61706">
        <w:t xml:space="preserve">RS232C ou V.24  é um padrão utilizando na troca de dados a </w:t>
      </w:r>
      <w:proofErr w:type="spellStart"/>
      <w:r w:rsidRPr="00D61706">
        <w:t>pinagem</w:t>
      </w:r>
      <w:proofErr w:type="spellEnd"/>
      <w:r w:rsidRPr="00D61706">
        <w:t xml:space="preserve"> de um DB9 (já foi o padrão mais utilizando em </w:t>
      </w:r>
      <w:proofErr w:type="spellStart"/>
      <w:r w:rsidRPr="00D61706">
        <w:t>PCs</w:t>
      </w:r>
      <w:proofErr w:type="spellEnd"/>
      <w:r w:rsidRPr="00D61706">
        <w:t>, hoje perdeu seu lugar para a USB).</w:t>
      </w:r>
    </w:p>
    <w:p w:rsidR="00D61706" w:rsidRPr="00D61706" w:rsidRDefault="00D61706" w:rsidP="00D61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1706" w:rsidRDefault="00D61706" w:rsidP="00D61706">
      <w:pPr>
        <w:pStyle w:val="Legenda"/>
        <w:keepNext/>
      </w:pPr>
      <w:r>
        <w:t xml:space="preserve">Tabela </w:t>
      </w:r>
      <w:fldSimple w:instr=" SEQ Tabela \* ARABIC ">
        <w:r w:rsidR="007E29CD">
          <w:rPr>
            <w:noProof/>
          </w:rPr>
          <w:t>1</w:t>
        </w:r>
      </w:fldSimple>
      <w:r>
        <w:t xml:space="preserve"> </w:t>
      </w:r>
      <w:proofErr w:type="spellStart"/>
      <w:r>
        <w:t>Pinagem</w:t>
      </w:r>
      <w:proofErr w:type="spellEnd"/>
      <w:r>
        <w:t xml:space="preserve"> RS232 conector db9</w:t>
      </w:r>
    </w:p>
    <w:tbl>
      <w:tblPr>
        <w:tblW w:w="3955" w:type="pct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4037"/>
        <w:gridCol w:w="2048"/>
      </w:tblGrid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b/>
                <w:bCs/>
                <w:color w:val="000000"/>
                <w:sz w:val="15"/>
                <w:szCs w:val="15"/>
                <w:lang w:eastAsia="pt-BR"/>
              </w:rPr>
              <w:t>Pino</w:t>
            </w:r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b/>
                <w:bCs/>
                <w:color w:val="000000"/>
                <w:sz w:val="15"/>
                <w:szCs w:val="15"/>
                <w:lang w:eastAsia="pt-BR"/>
              </w:rPr>
              <w:t>Função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b/>
                <w:bCs/>
                <w:color w:val="000000"/>
                <w:sz w:val="15"/>
                <w:szCs w:val="15"/>
                <w:lang w:eastAsia="pt-BR"/>
              </w:rPr>
              <w:t>Sigla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1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Portadora detectada, (Data Carrier 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Detect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DCD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2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Recepção de dados, (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Receive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Data)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RX, RD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3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Transmissão de dados, (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Transmitted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Data)</w:t>
            </w: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 </w:t>
            </w:r>
            <w:proofErr w:type="gram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           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TX, TD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4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Terminal de dados pronto, (Data Terminal 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Ready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DTR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5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Terra, (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Signal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Ground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GND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6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Conjunto de dados pronto, (Data Set 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Ready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DSR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7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Pronto para </w:t>
            </w: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enviar(</w:t>
            </w:r>
            <w:proofErr w:type="gram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computador), (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Request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To 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Send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RTS</w:t>
            </w:r>
          </w:p>
        </w:tc>
      </w:tr>
      <w:tr w:rsidR="00D61706" w:rsidRPr="00D61706" w:rsidTr="00D61706">
        <w:trPr>
          <w:tblCellSpacing w:w="15" w:type="dxa"/>
        </w:trPr>
        <w:tc>
          <w:tcPr>
            <w:tcW w:w="491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8</w:t>
            </w:r>
            <w:proofErr w:type="gramEnd"/>
          </w:p>
        </w:tc>
        <w:tc>
          <w:tcPr>
            <w:tcW w:w="2947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Envie os dados (modem), (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Clear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 xml:space="preserve"> To </w:t>
            </w:r>
            <w:proofErr w:type="spellStart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Send</w:t>
            </w:r>
            <w:proofErr w:type="spellEnd"/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)</w:t>
            </w:r>
          </w:p>
        </w:tc>
        <w:tc>
          <w:tcPr>
            <w:tcW w:w="1473" w:type="pct"/>
            <w:shd w:val="clear" w:color="auto" w:fill="CCFFFF"/>
            <w:vAlign w:val="center"/>
            <w:hideMark/>
          </w:tcPr>
          <w:p w:rsidR="00D61706" w:rsidRPr="00D61706" w:rsidRDefault="00D61706" w:rsidP="00D61706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D61706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pt-BR"/>
              </w:rPr>
              <w:t>CTS</w:t>
            </w:r>
          </w:p>
        </w:tc>
      </w:tr>
    </w:tbl>
    <w:p w:rsidR="007E29CD" w:rsidRDefault="007E29CD" w:rsidP="00D61706"/>
    <w:p w:rsidR="007E29CD" w:rsidRDefault="007E29CD" w:rsidP="00D61706">
      <w:r w:rsidRPr="007E29CD">
        <w:t>Na Figura 1 são apresentados os conectores DB9 macho e fêmea.</w:t>
      </w:r>
    </w:p>
    <w:p w:rsidR="007E29CD" w:rsidRDefault="007E29CD" w:rsidP="007E29CD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AC24FA">
        <w:t>Pinagem</w:t>
      </w:r>
      <w:proofErr w:type="spellEnd"/>
      <w:r w:rsidRPr="00AC24FA">
        <w:t xml:space="preserve"> do conector db9 macho e fêmea</w:t>
      </w:r>
    </w:p>
    <w:p w:rsidR="007E29CD" w:rsidRPr="00D61706" w:rsidRDefault="007E29CD" w:rsidP="00D61706">
      <w:r w:rsidRPr="007E29CD">
        <w:drawing>
          <wp:inline distT="0" distB="0" distL="0" distR="0">
            <wp:extent cx="1689735" cy="760730"/>
            <wp:effectExtent l="19050" t="0" r="5715" b="0"/>
            <wp:docPr id="3" name="Imagem 36" descr="http://4.bp.blogspot.com/-Elafx46V4yI/TmYNRSXUmdI/AAAAAAAACxE/be25kX2VlYg/s1600/Concetor+-+DB9-Fema+e+Macho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4.bp.blogspot.com/-Elafx46V4yI/TmYNRSXUmdI/AAAAAAAACxE/be25kX2VlYg/s1600/Concetor+-+DB9-Fema+e+Macho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9CD" w:rsidRPr="00D61706" w:rsidSect="00C95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61706"/>
    <w:rsid w:val="007E29CD"/>
    <w:rsid w:val="00C958FD"/>
    <w:rsid w:val="00D6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617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9C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E29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4.bp.blogspot.com/-Elafx46V4yI/TmYNRSXUmdI/AAAAAAAACxE/be25kX2VlYg/s1600/Concetor+-+DB9-Fema+e+Macho.gif" TargetMode="External"/><Relationship Id="rId5" Type="http://schemas.openxmlformats.org/officeDocument/2006/relationships/hyperlink" Target="http://baudaeletronica.blogspot.com.br/2011/09/pinagem-da-rs232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04691-BC9C-4DE4-8264-DD37DB88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1</cp:revision>
  <dcterms:created xsi:type="dcterms:W3CDTF">2012-12-02T13:09:00Z</dcterms:created>
  <dcterms:modified xsi:type="dcterms:W3CDTF">2012-12-02T13:41:00Z</dcterms:modified>
</cp:coreProperties>
</file>