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Bio-Functional Ionic Phase (BFIP): A Formal Model</w:t>
      </w:r>
    </w:p>
    <w:p>
      <w:pPr>
        <w:pStyle w:val="Heading2"/>
      </w:pPr>
      <w:r>
        <w:t>Abstract</w:t>
      </w:r>
    </w:p>
    <w:p>
      <w:r>
        <w:t>We introduce the concept of a Bio‑Functional Ionic Phase (BFIP) as a novel state of matter characterized by cooperative ionic behavior within biological systems. Unlike classical phases defined solely by thermodynamic properties—solid, liquid, gas, plasma—the BFIP paradigm integrates chemical uniformity, structural embedding, functional coherence, emergent macroscopicity, and phase‑like boundaries to describe ensembles of biologically active ions that exhibit reproducible, large‑scale physical behaviors.</w:t>
      </w:r>
    </w:p>
    <w:p>
      <w:pPr>
        <w:pStyle w:val="Heading2"/>
      </w:pPr>
      <w:r>
        <w:t>2. Fundamental Criteria</w:t>
      </w:r>
    </w:p>
    <w:tbl>
      <w:tblPr>
        <w:tblW w:type="auto" w:w="0"/>
        <w:tblLook w:firstColumn="1" w:firstRow="1" w:lastColumn="0" w:lastRow="0" w:noHBand="0" w:noVBand="1" w:val="04A0"/>
      </w:tblPr>
      <w:tblGrid>
        <w:gridCol w:w="2880"/>
        <w:gridCol w:w="2880"/>
        <w:gridCol w:w="2880"/>
      </w:tblGrid>
      <w:tr>
        <w:tc>
          <w:tcPr>
            <w:tcW w:type="dxa" w:w="2880"/>
          </w:tcPr>
          <w:p>
            <w:r>
              <w:t>Criterion</w:t>
            </w:r>
          </w:p>
        </w:tc>
        <w:tc>
          <w:tcPr>
            <w:tcW w:type="dxa" w:w="2880"/>
          </w:tcPr>
          <w:p>
            <w:r>
              <w:t>Classical Bulk Phase</w:t>
            </w:r>
          </w:p>
        </w:tc>
        <w:tc>
          <w:tcPr>
            <w:tcW w:type="dxa" w:w="2880"/>
          </w:tcPr>
          <w:p>
            <w:r>
              <w:t>Bio‑Functional Ionic Phase</w:t>
            </w:r>
          </w:p>
        </w:tc>
      </w:tr>
      <w:tr>
        <w:tc>
          <w:tcPr>
            <w:tcW w:type="dxa" w:w="2880"/>
          </w:tcPr>
          <w:p>
            <w:r>
              <w:t>Chemical Uniformity</w:t>
            </w:r>
          </w:p>
        </w:tc>
        <w:tc>
          <w:tcPr>
            <w:tcW w:type="dxa" w:w="2880"/>
          </w:tcPr>
          <w:p>
            <w:r>
              <w:t>Single element or compound (e.g. Fe⁰)</w:t>
            </w:r>
          </w:p>
        </w:tc>
        <w:tc>
          <w:tcPr>
            <w:tcW w:type="dxa" w:w="2880"/>
          </w:tcPr>
          <w:p>
            <w:r>
              <w:t>Single ionic oxidation state (e.g. Fe²⁺)</w:t>
            </w:r>
          </w:p>
        </w:tc>
      </w:tr>
      <w:tr>
        <w:tc>
          <w:tcPr>
            <w:tcW w:type="dxa" w:w="2880"/>
          </w:tcPr>
          <w:p>
            <w:r>
              <w:t>Structural Context</w:t>
            </w:r>
          </w:p>
        </w:tc>
        <w:tc>
          <w:tcPr>
            <w:tcW w:type="dxa" w:w="2880"/>
          </w:tcPr>
          <w:p>
            <w:r>
              <w:t>Crystalline lattice or homogeneous liquid</w:t>
            </w:r>
          </w:p>
        </w:tc>
        <w:tc>
          <w:tcPr>
            <w:tcW w:type="dxa" w:w="2880"/>
          </w:tcPr>
          <w:p>
            <w:r>
              <w:t>Supramolecular complexes (hemoglobin, ferritin)</w:t>
            </w:r>
          </w:p>
        </w:tc>
      </w:tr>
      <w:tr>
        <w:tc>
          <w:tcPr>
            <w:tcW w:type="dxa" w:w="2880"/>
          </w:tcPr>
          <w:p>
            <w:r>
              <w:t>Macroscopic Behavior</w:t>
            </w:r>
          </w:p>
        </w:tc>
        <w:tc>
          <w:tcPr>
            <w:tcW w:type="dxa" w:w="2880"/>
          </w:tcPr>
          <w:p>
            <w:r>
              <w:t>Rigidity, flow, conductivity, etc.</w:t>
            </w:r>
          </w:p>
        </w:tc>
        <w:tc>
          <w:tcPr>
            <w:tcW w:type="dxa" w:w="2880"/>
          </w:tcPr>
          <w:p>
            <w:r>
              <w:t>Oxygen‑binding/release kinetics, redox cycling</w:t>
            </w:r>
          </w:p>
        </w:tc>
      </w:tr>
      <w:tr>
        <w:tc>
          <w:tcPr>
            <w:tcW w:type="dxa" w:w="2880"/>
          </w:tcPr>
          <w:p>
            <w:r>
              <w:t>Phase Transition</w:t>
            </w:r>
          </w:p>
        </w:tc>
        <w:tc>
          <w:tcPr>
            <w:tcW w:type="dxa" w:w="2880"/>
          </w:tcPr>
          <w:p>
            <w:r>
              <w:t>Temperature/pressure-driven</w:t>
            </w:r>
          </w:p>
        </w:tc>
        <w:tc>
          <w:tcPr>
            <w:tcW w:type="dxa" w:w="2880"/>
          </w:tcPr>
          <w:p>
            <w:r>
              <w:t>pO₂, pH, ligand concentration‑driven binding curves</w:t>
            </w:r>
          </w:p>
        </w:tc>
      </w:tr>
      <w:tr>
        <w:tc>
          <w:tcPr>
            <w:tcW w:type="dxa" w:w="2880"/>
          </w:tcPr>
          <w:p>
            <w:r>
              <w:t>Spatial Extent</w:t>
            </w:r>
          </w:p>
        </w:tc>
        <w:tc>
          <w:tcPr>
            <w:tcW w:type="dxa" w:w="2880"/>
          </w:tcPr>
          <w:p>
            <w:r>
              <w:t>Continuous bulk sample</w:t>
            </w:r>
          </w:p>
        </w:tc>
        <w:tc>
          <w:tcPr>
            <w:tcW w:type="dxa" w:w="2880"/>
          </w:tcPr>
          <w:p>
            <w:r>
              <w:t>Distributed across tissues, organisms, populations</w:t>
            </w:r>
          </w:p>
        </w:tc>
      </w:tr>
      <w:tr>
        <w:tc>
          <w:tcPr>
            <w:tcW w:type="dxa" w:w="2880"/>
          </w:tcPr>
          <w:p>
            <w:r>
              <w:t>Measurable Parameters</w:t>
            </w:r>
          </w:p>
        </w:tc>
        <w:tc>
          <w:tcPr>
            <w:tcW w:type="dxa" w:w="2880"/>
          </w:tcPr>
          <w:p>
            <w:r>
              <w:t>Viscosity, compressibility, conductivity</w:t>
            </w:r>
          </w:p>
        </w:tc>
        <w:tc>
          <w:tcPr>
            <w:tcW w:type="dxa" w:w="2880"/>
          </w:tcPr>
          <w:p>
            <w:r>
              <w:t>Hill coefficient, saturation fraction, transport flux</w:t>
            </w:r>
          </w:p>
        </w:tc>
      </w:tr>
    </w:tbl>
    <w:p>
      <w:pPr>
        <w:pStyle w:val="ListNumber"/>
      </w:pPr>
      <w:r>
        <w:t>To be classified as a BFIP, an ionic ensemble must satisfy:</w:t>
      </w:r>
    </w:p>
    <w:p>
      <w:pPr>
        <w:pStyle w:val="ListNumber"/>
      </w:pPr>
      <w:r>
        <w:t>Chemical Uniformity (CU): Predominantly one oxidation state or coordination environment (e.g. &gt;90% Fe in divalent form).</w:t>
      </w:r>
    </w:p>
    <w:p>
      <w:pPr>
        <w:pStyle w:val="ListNumber"/>
      </w:pPr>
      <w:r>
        <w:t>Structural Embedding (SE): Organized within biologically recurring scaffolds (e.g. tetrameric hemoglobin, cytochrome complexes).</w:t>
      </w:r>
    </w:p>
    <w:p>
      <w:pPr>
        <w:pStyle w:val="ListNumber"/>
      </w:pPr>
      <w:r>
        <w:t>Functional Coherence (FC): Exhibits a reproducible, mathematically describable function F, for example, O₂ saturation following the Hill equation: θ(pO₂) = [O₂]ⁿᴴ / (K_d + [O₂]ⁿᴴ).</w:t>
      </w:r>
    </w:p>
    <w:p>
      <w:pPr>
        <w:pStyle w:val="ListNumber"/>
      </w:pPr>
      <w:r>
        <w:t>Emergent Macroscopicity (EM): Collective behavior (binding/release cycles) observable at organismal or ecosystem scales.</w:t>
      </w:r>
    </w:p>
    <w:p>
      <w:pPr>
        <w:pStyle w:val="ListNumber"/>
      </w:pPr>
      <w:r>
        <w:t>Phase‑Like Boundaries (PB): Well‑defined transitions (e.g. &gt;50% saturation threshold) that mirror classical phase transitions.</w:t>
      </w:r>
    </w:p>
    <w:p>
      <w:pPr>
        <w:pStyle w:val="Heading2"/>
      </w:pPr>
      <w:r>
        <w:t>3. Mathematical Formalization</w:t>
      </w:r>
    </w:p>
    <w:p>
      <w:r>
        <w:t>See detailed structured model in accompanying documentation.</w:t>
      </w:r>
    </w:p>
    <w:p>
      <w:pPr>
        <w:pStyle w:val="Heading2"/>
      </w:pPr>
      <w:r>
        <w:t>4. Extended Phase Diagram</w:t>
      </w:r>
    </w:p>
    <w:p>
      <w:r>
        <w:t>See detailed structured model in accompanying documentation.</w:t>
      </w:r>
    </w:p>
    <w:p>
      <w:pPr>
        <w:pStyle w:val="Heading2"/>
      </w:pPr>
      <w:r>
        <w:t>5. Examples &amp; Applications</w:t>
      </w:r>
    </w:p>
    <w:p>
      <w:r>
        <w:t>See detailed structured model in accompanying documentation.</w:t>
      </w:r>
    </w:p>
    <w:p>
      <w:pPr>
        <w:pStyle w:val="Heading2"/>
      </w:pPr>
      <w:r>
        <w:t>6. Implications &amp; Next Steps</w:t>
      </w:r>
    </w:p>
    <w:p>
      <w:r>
        <w:t>See detailed structured model in accompanying documentation.</w:t>
      </w:r>
    </w:p>
    <w:p>
      <w:pPr>
        <w:pStyle w:val="Heading2"/>
      </w:pPr>
      <w:r>
        <w:t>Conclusion</w:t>
      </w:r>
    </w:p>
    <w:p>
      <w:r>
        <w:t>The BFIP framework broadens the concept of a physical phase by integrating cooperative function, structural context, and emergent scale. This opens avenues for a novel bio-thermodynamics of phases, bridging classical physics with modern systems biology.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