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widowControl w:val="1"/>
      </w:pPr>
    </w:p>
    <w:p>
      <w:pPr>
        <w:spacing w:after="280"/>
        <w:jc w:val="center"/>
        <w:widowControl w:val="1"/>
      </w:pPr>
      <w:r>
        <w:rPr>
          <w:rFonts w:ascii="Calibri" w:hAnsi="Calibri"/>
          <w:b/>
          <w:i w:val="0"/>
          <w:color w:val="7A5A00"/>
          <w:sz w:val="22"/>
        </w:rPr>
        <w:t>CAPSTONE DEMONSTRATION GUIDE</w:t>
      </w:r>
    </w:p>
    <w:p>
      <w:pPr>
        <w:pStyle w:val="Title"/>
        <w:spacing w:after="200"/>
        <w:jc w:val="center"/>
        <w:widowControl w:val="1"/>
      </w:pPr>
      <w:r>
        <w:rPr>
          <w:rFonts w:ascii="Calibri" w:hAnsi="Calibri"/>
          <w:b/>
          <w:i w:val="0"/>
          <w:color w:val="0F172A"/>
          <w:sz w:val="58"/>
        </w:rPr>
        <w:t>Scholarship Platform Demonstration Script</w:t>
      </w:r>
    </w:p>
    <w:p>
      <w:pPr>
        <w:spacing w:after="200"/>
        <w:jc w:val="center"/>
        <w:widowControl w:val="1"/>
      </w:pPr>
      <w:r>
        <w:rPr>
          <w:rFonts w:ascii="Calibri" w:hAnsi="Calibri"/>
          <w:b w:val="0"/>
          <w:i w:val="0"/>
          <w:color w:val="1F4D78"/>
          <w:sz w:val="28"/>
        </w:rPr>
        <w:t>Platform goals, end-to-end processes, data rationale, evidence-based justification, and sustainability</w:t>
      </w:r>
    </w:p>
    <w:p>
      <w:pPr>
        <w:spacing w:after="560"/>
        <w:jc w:val="center"/>
        <w:widowControl w:val="1"/>
      </w:pPr>
      <w:r>
        <w:rPr>
          <w:rFonts w:ascii="Calibri" w:hAnsi="Calibri"/>
          <w:b/>
          <w:i w:val="0"/>
          <w:color w:val="5B6472"/>
          <w:sz w:val="20"/>
        </w:rPr>
        <w:t>For the research project:</w:t>
      </w:r>
      <w:r>
        <w:br/>
      </w:r>
      <w:r>
        <w:rPr>
          <w:rFonts w:ascii="Calibri" w:hAnsi="Calibri"/>
          <w:b/>
          <w:i w:val="0"/>
          <w:color w:val="0F172A"/>
          <w:sz w:val="23"/>
        </w:rPr>
        <w:t>DEVELOPMENT OF A WEB- AND MOBILE-BASED SCHOLARSHIP FINDER AND ELIGIBILITY PLATFORM FOR FILIPINO STUDENTS WITH A DECISION SUPPORT SYSTEM</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500"/>
        <w:gridCol w:w="3180"/>
        <w:gridCol w:w="1500"/>
        <w:gridCol w:w="3180"/>
      </w:tblGrid>
      <w:tr>
        <w:trPr>
          <w:tblHeader w:val="true"/>
        </w:trPr>
        <w:tc>
          <w:tcPr>
            <w:tcW w:type="dxa" w:w="1500"/>
            <w:vAlign w:val="center"/>
            <w:tcMar>
              <w:top w:w="90" w:type="dxa"/>
              <w:start w:w="120" w:type="dxa"/>
              <w:bottom w:w="90" w:type="dxa"/>
              <w:end w:w="120" w:type="dxa"/>
            </w:tcMar>
            <w:shd w:fill="0F172A"/>
          </w:tcPr>
          <w:p>
            <w:pPr>
              <w:spacing w:after="0"/>
            </w:pPr>
            <w:r>
              <w:rPr>
                <w:rFonts w:ascii="Calibri" w:hAnsi="Calibri"/>
                <w:b/>
                <w:i w:val="0"/>
                <w:color w:val="0F172A"/>
                <w:sz w:val="18"/>
              </w:rPr>
              <w:t>Suggested time</w:t>
            </w:r>
          </w:p>
        </w:tc>
        <w:tc>
          <w:tcPr>
            <w:tcW w:type="dxa" w:w="3180"/>
            <w:vAlign w:val="center"/>
            <w:tcMar>
              <w:top w:w="90" w:type="dxa"/>
              <w:start w:w="120" w:type="dxa"/>
              <w:bottom w:w="90" w:type="dxa"/>
              <w:end w:w="120" w:type="dxa"/>
            </w:tcMar>
            <w:shd w:fill="0F172A"/>
          </w:tcPr>
          <w:p>
            <w:pPr>
              <w:spacing w:after="0"/>
            </w:pPr>
            <w:r>
              <w:rPr>
                <w:rFonts w:ascii="Calibri" w:hAnsi="Calibri"/>
                <w:b/>
                <w:i w:val="0"/>
                <w:color w:val="0F172A"/>
                <w:sz w:val="18"/>
              </w:rPr>
              <w:t>Demonstration block</w:t>
            </w:r>
          </w:p>
        </w:tc>
        <w:tc>
          <w:tcPr>
            <w:tcW w:type="dxa" w:w="1500"/>
            <w:vAlign w:val="center"/>
            <w:tcMar>
              <w:top w:w="90" w:type="dxa"/>
              <w:start w:w="120" w:type="dxa"/>
              <w:bottom w:w="90" w:type="dxa"/>
              <w:end w:w="120" w:type="dxa"/>
            </w:tcMar>
            <w:shd w:fill="0F172A"/>
          </w:tcPr>
          <w:p>
            <w:pPr>
              <w:spacing w:after="0"/>
            </w:pPr>
            <w:r>
              <w:rPr>
                <w:rFonts w:ascii="Calibri" w:hAnsi="Calibri"/>
                <w:b/>
                <w:i w:val="0"/>
                <w:color w:val="0F172A"/>
                <w:sz w:val="18"/>
              </w:rPr>
              <w:t>Suggested time</w:t>
            </w:r>
          </w:p>
        </w:tc>
        <w:tc>
          <w:tcPr>
            <w:tcW w:type="dxa" w:w="3180"/>
            <w:vAlign w:val="center"/>
            <w:tcMar>
              <w:top w:w="90" w:type="dxa"/>
              <w:start w:w="120" w:type="dxa"/>
              <w:bottom w:w="90" w:type="dxa"/>
              <w:end w:w="120" w:type="dxa"/>
            </w:tcMar>
            <w:shd w:fill="0F172A"/>
          </w:tcPr>
          <w:p>
            <w:pPr>
              <w:spacing w:after="0"/>
            </w:pPr>
            <w:r>
              <w:rPr>
                <w:rFonts w:ascii="Calibri" w:hAnsi="Calibri"/>
                <w:b/>
                <w:i w:val="0"/>
                <w:color w:val="0F172A"/>
                <w:sz w:val="18"/>
              </w:rPr>
              <w:t>Demonstration block</w:t>
            </w:r>
          </w:p>
        </w:tc>
      </w:tr>
      <w:tr>
        <w:tc>
          <w:tcPr>
            <w:tcW w:type="dxa" w:w="1500"/>
          </w:tcPr>
          <w:p>
            <w:pPr>
              <w:spacing w:after="0" w:line="264" w:lineRule="auto"/>
            </w:pPr>
            <w:r>
              <w:rPr>
                <w:rFonts w:ascii="Calibri" w:hAnsi="Calibri"/>
                <w:b w:val="0"/>
                <w:i w:val="0"/>
                <w:color w:val="0F172A"/>
                <w:sz w:val="18"/>
              </w:rPr>
              <w:t>5 min</w:t>
            </w:r>
          </w:p>
        </w:tc>
        <w:tc>
          <w:tcPr>
            <w:tcW w:type="dxa" w:w="3180"/>
          </w:tcPr>
          <w:p>
            <w:pPr>
              <w:spacing w:after="0" w:line="264" w:lineRule="auto"/>
            </w:pPr>
            <w:r>
              <w:rPr>
                <w:rFonts w:ascii="Calibri" w:hAnsi="Calibri"/>
                <w:b w:val="0"/>
                <w:i w:val="0"/>
                <w:color w:val="0F172A"/>
                <w:sz w:val="18"/>
              </w:rPr>
              <w:t>Problem and goals</w:t>
            </w:r>
          </w:p>
        </w:tc>
        <w:tc>
          <w:tcPr>
            <w:tcW w:type="dxa" w:w="1500"/>
          </w:tcPr>
          <w:p>
            <w:pPr>
              <w:spacing w:after="0" w:line="264" w:lineRule="auto"/>
            </w:pPr>
            <w:r>
              <w:rPr>
                <w:rFonts w:ascii="Calibri" w:hAnsi="Calibri"/>
                <w:b w:val="0"/>
                <w:i w:val="0"/>
                <w:color w:val="0F172A"/>
                <w:sz w:val="18"/>
              </w:rPr>
              <w:t>10 min</w:t>
            </w:r>
          </w:p>
        </w:tc>
        <w:tc>
          <w:tcPr>
            <w:tcW w:type="dxa" w:w="3180"/>
          </w:tcPr>
          <w:p>
            <w:pPr>
              <w:spacing w:after="0" w:line="264" w:lineRule="auto"/>
            </w:pPr>
            <w:r>
              <w:rPr>
                <w:rFonts w:ascii="Calibri" w:hAnsi="Calibri"/>
                <w:b w:val="0"/>
                <w:i w:val="0"/>
                <w:color w:val="0F172A"/>
                <w:sz w:val="18"/>
              </w:rPr>
              <w:t>Applicant flow</w:t>
            </w:r>
          </w:p>
        </w:tc>
      </w:tr>
      <w:tr>
        <w:tc>
          <w:tcPr>
            <w:tcW w:type="dxa" w:w="1500"/>
          </w:tcPr>
          <w:p>
            <w:pPr>
              <w:spacing w:after="0" w:line="264" w:lineRule="auto"/>
            </w:pPr>
            <w:r>
              <w:rPr>
                <w:rFonts w:ascii="Calibri" w:hAnsi="Calibri"/>
                <w:b w:val="0"/>
                <w:i w:val="0"/>
                <w:color w:val="0F172A"/>
                <w:sz w:val="18"/>
              </w:rPr>
              <w:t>8 min</w:t>
            </w:r>
          </w:p>
        </w:tc>
        <w:tc>
          <w:tcPr>
            <w:tcW w:type="dxa" w:w="3180"/>
          </w:tcPr>
          <w:p>
            <w:pPr>
              <w:spacing w:after="0" w:line="264" w:lineRule="auto"/>
            </w:pPr>
            <w:r>
              <w:rPr>
                <w:rFonts w:ascii="Calibri" w:hAnsi="Calibri"/>
                <w:b w:val="0"/>
                <w:i w:val="0"/>
                <w:color w:val="0F172A"/>
                <w:sz w:val="18"/>
              </w:rPr>
              <w:t>Provider and admin</w:t>
            </w:r>
          </w:p>
        </w:tc>
        <w:tc>
          <w:tcPr>
            <w:tcW w:type="dxa" w:w="1500"/>
          </w:tcPr>
          <w:p>
            <w:pPr>
              <w:spacing w:after="0" w:line="264" w:lineRule="auto"/>
            </w:pPr>
            <w:r>
              <w:rPr>
                <w:rFonts w:ascii="Calibri" w:hAnsi="Calibri"/>
                <w:b w:val="0"/>
                <w:i w:val="0"/>
                <w:color w:val="0F172A"/>
                <w:sz w:val="18"/>
              </w:rPr>
              <w:t>7 min</w:t>
            </w:r>
          </w:p>
        </w:tc>
        <w:tc>
          <w:tcPr>
            <w:tcW w:type="dxa" w:w="3180"/>
          </w:tcPr>
          <w:p>
            <w:pPr>
              <w:spacing w:after="0" w:line="264" w:lineRule="auto"/>
            </w:pPr>
            <w:r>
              <w:rPr>
                <w:rFonts w:ascii="Calibri" w:hAnsi="Calibri"/>
                <w:b w:val="0"/>
                <w:i w:val="0"/>
                <w:color w:val="0F172A"/>
                <w:sz w:val="18"/>
              </w:rPr>
              <w:t>Justification and sustainability</w:t>
            </w:r>
          </w:p>
        </w:tc>
      </w:tr>
    </w:tbl>
    <w:p>
      <w:pPr>
        <w:spacing w:after="0"/>
        <w:widowControl w:val="1"/>
      </w:pPr>
    </w:p>
    <w:p>
      <w:pPr>
        <w:pStyle w:val="KeyMessage"/>
        <w:widowControl w:val="1"/>
      </w:pPr>
      <w:r>
        <w:rPr>
          <w:rFonts w:ascii="Calibri" w:hAnsi="Calibri"/>
          <w:b/>
          <w:i w:val="0"/>
          <w:color w:val="0F172A"/>
          <w:sz w:val="22"/>
        </w:rPr>
        <w:t xml:space="preserve">Use this document: </w:t>
      </w:r>
      <w:r>
        <w:rPr>
          <w:rFonts w:ascii="Calibri" w:hAnsi="Calibri"/>
          <w:b w:val="0"/>
          <w:i w:val="0"/>
          <w:color w:val="0F172A"/>
          <w:sz w:val="22"/>
        </w:rPr>
        <w:t>Read the presenter script naturally, perform the matching on-screen action, and use the evidence notes only when the panel asks why a process or data field is necessary.</w:t>
      </w:r>
    </w:p>
    <w:p>
      <w:pPr>
        <w:spacing w:before="480"/>
        <w:jc w:val="center"/>
        <w:widowControl w:val="1"/>
      </w:pPr>
      <w:r>
        <w:rPr>
          <w:rFonts w:ascii="Calibri" w:hAnsi="Calibri"/>
          <w:b w:val="0"/>
          <w:i w:val="0"/>
          <w:color w:val="5B6472"/>
          <w:sz w:val="20"/>
        </w:rPr>
        <w:t>Prepared for system demonstration and panel defense  |  August 2026</w:t>
      </w:r>
    </w:p>
    <w:p>
      <w:pPr>
        <w:widowControl w:val="1"/>
      </w:pPr>
      <w:r>
        <w:br w:type="page"/>
      </w:r>
    </w:p>
    <w:p>
      <w:pPr>
        <w:pStyle w:val="Heading1"/>
        <w:widowControl w:val="1"/>
      </w:pPr>
      <w:r>
        <w:t>How to Use This Script</w:t>
      </w:r>
    </w:p>
    <w:p>
      <w:pPr>
        <w:keepLines w:val="0"/>
        <w:widowControl w:val="1"/>
      </w:pPr>
      <w:r>
        <w:rPr>
          <w:rFonts w:ascii="Calibri" w:hAnsi="Calibri"/>
          <w:b w:val="0"/>
          <w:i w:val="0"/>
          <w:color w:val="0F172A"/>
          <w:sz w:val="22"/>
        </w:rPr>
        <w:t>This document is a presenter-ready guide. It is deliberately more detailed than a normal live demonstration so the team can shorten or expand the presentation depending on panel questions.</w:t>
      </w:r>
    </w:p>
    <w:p>
      <w:pPr>
        <w:numPr>
          <w:ilvl w:val="0"/>
          <w:numId w:val="90"/>
        </w:numPr>
        <w:spacing w:after="80" w:line="300" w:lineRule="auto"/>
        <w:widowControl w:val="1"/>
      </w:pPr>
      <w:r>
        <w:rPr>
          <w:rFonts w:ascii="Calibri" w:hAnsi="Calibri"/>
          <w:b w:val="0"/>
          <w:i w:val="0"/>
          <w:color w:val="0F172A"/>
          <w:sz w:val="22"/>
        </w:rPr>
        <w:t>Text marked PRESENTER SCRIPT may be spoken directly or paraphrased.</w:t>
      </w:r>
    </w:p>
    <w:p>
      <w:pPr>
        <w:numPr>
          <w:ilvl w:val="0"/>
          <w:numId w:val="90"/>
        </w:numPr>
        <w:spacing w:after="80" w:line="300" w:lineRule="auto"/>
        <w:widowControl w:val="1"/>
      </w:pPr>
      <w:r>
        <w:rPr>
          <w:rFonts w:ascii="Calibri" w:hAnsi="Calibri"/>
          <w:b w:val="0"/>
          <w:i w:val="0"/>
          <w:color w:val="0F172A"/>
          <w:sz w:val="22"/>
        </w:rPr>
        <w:t>Text marked ON SCREEN describes what to open, click, or point out.</w:t>
      </w:r>
    </w:p>
    <w:p>
      <w:pPr>
        <w:numPr>
          <w:ilvl w:val="0"/>
          <w:numId w:val="90"/>
        </w:numPr>
        <w:spacing w:after="80" w:line="300" w:lineRule="auto"/>
        <w:widowControl w:val="1"/>
      </w:pPr>
      <w:r>
        <w:rPr>
          <w:rFonts w:ascii="Calibri" w:hAnsi="Calibri"/>
          <w:b w:val="0"/>
          <w:i w:val="0"/>
          <w:color w:val="0F172A"/>
          <w:sz w:val="22"/>
        </w:rPr>
        <w:t>EVIDENCE NOTES provide the factual basis for a design choice and should be used when defending the process.</w:t>
      </w:r>
    </w:p>
    <w:p>
      <w:pPr>
        <w:numPr>
          <w:ilvl w:val="0"/>
          <w:numId w:val="90"/>
        </w:numPr>
        <w:spacing w:after="80" w:line="300" w:lineRule="auto"/>
        <w:widowControl w:val="1"/>
      </w:pPr>
      <w:r>
        <w:rPr>
          <w:rFonts w:ascii="Calibri" w:hAnsi="Calibri"/>
          <w:b w:val="0"/>
          <w:i w:val="0"/>
          <w:color w:val="0F172A"/>
          <w:sz w:val="22"/>
        </w:rPr>
        <w:t>CAUTION NOTES identify claims the team should not make because the current platform does not fully implement them.</w:t>
      </w:r>
    </w:p>
    <w:p>
      <w:pPr>
        <w:numPr>
          <w:ilvl w:val="0"/>
          <w:numId w:val="90"/>
        </w:numPr>
        <w:spacing w:after="80" w:line="300" w:lineRule="auto"/>
        <w:widowControl w:val="1"/>
      </w:pPr>
      <w:r>
        <w:rPr>
          <w:rFonts w:ascii="Calibri" w:hAnsi="Calibri"/>
          <w:b w:val="0"/>
          <w:i w:val="0"/>
          <w:color w:val="0F172A"/>
          <w:sz w:val="22"/>
        </w:rPr>
        <w:t>The recommended main demonstration is approximately 30 minutes, excluding questions.</w:t>
      </w:r>
    </w:p>
    <w:p>
      <w:pPr>
        <w:pStyle w:val="CautionNote"/>
        <w:widowControl w:val="1"/>
      </w:pPr>
      <w:r>
        <w:rPr>
          <w:rFonts w:ascii="Calibri" w:hAnsi="Calibri"/>
          <w:b/>
          <w:i w:val="0"/>
          <w:color w:val="9B1C1C"/>
          <w:sz w:val="22"/>
        </w:rPr>
        <w:t xml:space="preserve">Important boundary: </w:t>
      </w:r>
      <w:r>
        <w:rPr>
          <w:rFonts w:ascii="Calibri" w:hAnsi="Calibri"/>
          <w:b w:val="0"/>
          <w:i w:val="0"/>
          <w:color w:val="9B1C1C"/>
          <w:sz w:val="22"/>
        </w:rPr>
        <w:t>The system supports scholarship discovery, eligibility guidance, document preparation, application workflow, verification, and communication. It does not replace the scholarship provider's authority to approve or reject applicants.</w:t>
      </w:r>
    </w:p>
    <w:p>
      <w:pPr>
        <w:pStyle w:val="Heading1"/>
        <w:widowControl w:val="1"/>
      </w:pPr>
      <w:r>
        <w:t>Contents</w:t>
      </w:r>
    </w:p>
    <w:p>
      <w:pPr>
        <w:numPr>
          <w:ilvl w:val="0"/>
          <w:numId w:val="90"/>
        </w:numPr>
        <w:spacing w:after="80" w:line="300" w:lineRule="auto"/>
        <w:widowControl w:val="1"/>
      </w:pPr>
      <w:r>
        <w:rPr>
          <w:rFonts w:ascii="Calibri" w:hAnsi="Calibri"/>
          <w:b w:val="0"/>
          <w:i w:val="0"/>
          <w:color w:val="0F172A"/>
          <w:sz w:val="22"/>
        </w:rPr>
        <w:t>1. Opening Demonstration Script</w:t>
      </w:r>
    </w:p>
    <w:p>
      <w:pPr>
        <w:numPr>
          <w:ilvl w:val="0"/>
          <w:numId w:val="90"/>
        </w:numPr>
        <w:spacing w:after="80" w:line="300" w:lineRule="auto"/>
        <w:widowControl w:val="1"/>
      </w:pPr>
      <w:r>
        <w:rPr>
          <w:rFonts w:ascii="Calibri" w:hAnsi="Calibri"/>
          <w:b w:val="0"/>
          <w:i w:val="0"/>
          <w:color w:val="0F172A"/>
          <w:sz w:val="22"/>
        </w:rPr>
        <w:t>2. Platform Goal and Research Title</w:t>
      </w:r>
    </w:p>
    <w:p>
      <w:pPr>
        <w:numPr>
          <w:ilvl w:val="0"/>
          <w:numId w:val="90"/>
        </w:numPr>
        <w:spacing w:after="80" w:line="300" w:lineRule="auto"/>
        <w:widowControl w:val="1"/>
      </w:pPr>
      <w:r>
        <w:rPr>
          <w:rFonts w:ascii="Calibri" w:hAnsi="Calibri"/>
          <w:b w:val="0"/>
          <w:i w:val="0"/>
          <w:color w:val="0F172A"/>
          <w:sz w:val="22"/>
        </w:rPr>
        <w:t>3. Problem, Beneficiaries, and Evidence</w:t>
      </w:r>
    </w:p>
    <w:p>
      <w:pPr>
        <w:numPr>
          <w:ilvl w:val="0"/>
          <w:numId w:val="90"/>
        </w:numPr>
        <w:spacing w:after="80" w:line="300" w:lineRule="auto"/>
        <w:widowControl w:val="1"/>
      </w:pPr>
      <w:r>
        <w:rPr>
          <w:rFonts w:ascii="Calibri" w:hAnsi="Calibri"/>
          <w:b w:val="0"/>
          <w:i w:val="0"/>
          <w:color w:val="0F172A"/>
          <w:sz w:val="22"/>
        </w:rPr>
        <w:t>4. Roles and End-to-End Flowchart</w:t>
      </w:r>
    </w:p>
    <w:p>
      <w:pPr>
        <w:numPr>
          <w:ilvl w:val="0"/>
          <w:numId w:val="90"/>
        </w:numPr>
        <w:spacing w:after="80" w:line="300" w:lineRule="auto"/>
        <w:widowControl w:val="1"/>
      </w:pPr>
      <w:r>
        <w:rPr>
          <w:rFonts w:ascii="Calibri" w:hAnsi="Calibri"/>
          <w:b w:val="0"/>
          <w:i w:val="0"/>
          <w:color w:val="0F172A"/>
          <w:sz w:val="22"/>
        </w:rPr>
        <w:t>5. Demonstration Preparation and Run of Show</w:t>
      </w:r>
    </w:p>
    <w:p>
      <w:pPr>
        <w:numPr>
          <w:ilvl w:val="0"/>
          <w:numId w:val="90"/>
        </w:numPr>
        <w:spacing w:after="80" w:line="300" w:lineRule="auto"/>
        <w:widowControl w:val="1"/>
      </w:pPr>
      <w:r>
        <w:rPr>
          <w:rFonts w:ascii="Calibri" w:hAnsi="Calibri"/>
          <w:b w:val="0"/>
          <w:i w:val="0"/>
          <w:color w:val="0F172A"/>
          <w:sz w:val="22"/>
        </w:rPr>
        <w:t>6. Public Pages and Registration</w:t>
      </w:r>
    </w:p>
    <w:p>
      <w:pPr>
        <w:numPr>
          <w:ilvl w:val="0"/>
          <w:numId w:val="90"/>
        </w:numPr>
        <w:spacing w:after="80" w:line="300" w:lineRule="auto"/>
        <w:widowControl w:val="1"/>
      </w:pPr>
      <w:r>
        <w:rPr>
          <w:rFonts w:ascii="Calibri" w:hAnsi="Calibri"/>
          <w:b w:val="0"/>
          <w:i w:val="0"/>
          <w:color w:val="0F172A"/>
          <w:sz w:val="22"/>
        </w:rPr>
        <w:t>7. Applicant Process</w:t>
      </w:r>
    </w:p>
    <w:p>
      <w:pPr>
        <w:numPr>
          <w:ilvl w:val="0"/>
          <w:numId w:val="90"/>
        </w:numPr>
        <w:spacing w:after="80" w:line="300" w:lineRule="auto"/>
        <w:widowControl w:val="1"/>
      </w:pPr>
      <w:r>
        <w:rPr>
          <w:rFonts w:ascii="Calibri" w:hAnsi="Calibri"/>
          <w:b w:val="0"/>
          <w:i w:val="0"/>
          <w:color w:val="0F172A"/>
          <w:sz w:val="22"/>
        </w:rPr>
        <w:t>8. Provider Process</w:t>
      </w:r>
    </w:p>
    <w:p>
      <w:pPr>
        <w:numPr>
          <w:ilvl w:val="0"/>
          <w:numId w:val="90"/>
        </w:numPr>
        <w:spacing w:after="80" w:line="300" w:lineRule="auto"/>
        <w:widowControl w:val="1"/>
      </w:pPr>
      <w:r>
        <w:rPr>
          <w:rFonts w:ascii="Calibri" w:hAnsi="Calibri"/>
          <w:b w:val="0"/>
          <w:i w:val="0"/>
          <w:color w:val="0F172A"/>
          <w:sz w:val="22"/>
        </w:rPr>
        <w:t>9. Administrator Process</w:t>
      </w:r>
    </w:p>
    <w:p>
      <w:pPr>
        <w:numPr>
          <w:ilvl w:val="0"/>
          <w:numId w:val="90"/>
        </w:numPr>
        <w:spacing w:after="80" w:line="300" w:lineRule="auto"/>
        <w:widowControl w:val="1"/>
      </w:pPr>
      <w:r>
        <w:rPr>
          <w:rFonts w:ascii="Calibri" w:hAnsi="Calibri"/>
          <w:b w:val="0"/>
          <w:i w:val="0"/>
          <w:color w:val="0F172A"/>
          <w:sz w:val="22"/>
        </w:rPr>
        <w:t>10. Decision Support System</w:t>
      </w:r>
    </w:p>
    <w:p>
      <w:pPr>
        <w:numPr>
          <w:ilvl w:val="0"/>
          <w:numId w:val="90"/>
        </w:numPr>
        <w:spacing w:after="80" w:line="300" w:lineRule="auto"/>
        <w:widowControl w:val="1"/>
      </w:pPr>
      <w:r>
        <w:rPr>
          <w:rFonts w:ascii="Calibri" w:hAnsi="Calibri"/>
          <w:b w:val="0"/>
          <w:i w:val="0"/>
          <w:color w:val="0F172A"/>
          <w:sz w:val="22"/>
        </w:rPr>
        <w:t>11. Data Collected and Why</w:t>
      </w:r>
    </w:p>
    <w:p>
      <w:pPr>
        <w:numPr>
          <w:ilvl w:val="0"/>
          <w:numId w:val="90"/>
        </w:numPr>
        <w:spacing w:after="80" w:line="300" w:lineRule="auto"/>
        <w:widowControl w:val="1"/>
      </w:pPr>
      <w:r>
        <w:rPr>
          <w:rFonts w:ascii="Calibri" w:hAnsi="Calibri"/>
          <w:b w:val="0"/>
          <w:i w:val="0"/>
          <w:color w:val="0F172A"/>
          <w:sz w:val="22"/>
        </w:rPr>
        <w:t>12. Process Design Justification</w:t>
      </w:r>
    </w:p>
    <w:p>
      <w:pPr>
        <w:numPr>
          <w:ilvl w:val="0"/>
          <w:numId w:val="90"/>
        </w:numPr>
        <w:spacing w:after="80" w:line="300" w:lineRule="auto"/>
        <w:widowControl w:val="1"/>
      </w:pPr>
      <w:r>
        <w:rPr>
          <w:rFonts w:ascii="Calibri" w:hAnsi="Calibri"/>
          <w:b w:val="0"/>
          <w:i w:val="0"/>
          <w:color w:val="0F172A"/>
          <w:sz w:val="22"/>
        </w:rPr>
        <w:t>13. Privacy, Security, Notifications, and Support</w:t>
      </w:r>
    </w:p>
    <w:p>
      <w:pPr>
        <w:numPr>
          <w:ilvl w:val="0"/>
          <w:numId w:val="90"/>
        </w:numPr>
        <w:spacing w:after="80" w:line="300" w:lineRule="auto"/>
        <w:widowControl w:val="1"/>
      </w:pPr>
      <w:r>
        <w:rPr>
          <w:rFonts w:ascii="Calibri" w:hAnsi="Calibri"/>
          <w:b w:val="0"/>
          <w:i w:val="0"/>
          <w:color w:val="0F172A"/>
          <w:sz w:val="22"/>
        </w:rPr>
        <w:t>14. Sustainability Model</w:t>
      </w:r>
    </w:p>
    <w:p>
      <w:pPr>
        <w:numPr>
          <w:ilvl w:val="0"/>
          <w:numId w:val="90"/>
        </w:numPr>
        <w:spacing w:after="80" w:line="300" w:lineRule="auto"/>
        <w:widowControl w:val="1"/>
      </w:pPr>
      <w:r>
        <w:rPr>
          <w:rFonts w:ascii="Calibri" w:hAnsi="Calibri"/>
          <w:b w:val="0"/>
          <w:i w:val="0"/>
          <w:color w:val="0F172A"/>
          <w:sz w:val="22"/>
        </w:rPr>
        <w:t>15. Limitations and Future Improvements</w:t>
      </w:r>
    </w:p>
    <w:p>
      <w:pPr>
        <w:numPr>
          <w:ilvl w:val="0"/>
          <w:numId w:val="90"/>
        </w:numPr>
        <w:spacing w:after="80" w:line="300" w:lineRule="auto"/>
        <w:widowControl w:val="1"/>
      </w:pPr>
      <w:r>
        <w:rPr>
          <w:rFonts w:ascii="Calibri" w:hAnsi="Calibri"/>
          <w:b w:val="0"/>
          <w:i w:val="0"/>
          <w:color w:val="0F172A"/>
          <w:sz w:val="22"/>
        </w:rPr>
        <w:t>16. Likely Panel Questions and Answers</w:t>
      </w:r>
    </w:p>
    <w:p>
      <w:pPr>
        <w:numPr>
          <w:ilvl w:val="0"/>
          <w:numId w:val="90"/>
        </w:numPr>
        <w:spacing w:after="80" w:line="300" w:lineRule="auto"/>
        <w:widowControl w:val="1"/>
      </w:pPr>
      <w:r>
        <w:rPr>
          <w:rFonts w:ascii="Calibri" w:hAnsi="Calibri"/>
          <w:b w:val="0"/>
          <w:i w:val="0"/>
          <w:color w:val="0F172A"/>
          <w:sz w:val="22"/>
        </w:rPr>
        <w:t>17. Closing Script</w:t>
      </w:r>
    </w:p>
    <w:p>
      <w:pPr>
        <w:numPr>
          <w:ilvl w:val="0"/>
          <w:numId w:val="90"/>
        </w:numPr>
        <w:spacing w:after="80" w:line="300" w:lineRule="auto"/>
        <w:widowControl w:val="1"/>
      </w:pPr>
      <w:r>
        <w:rPr>
          <w:rFonts w:ascii="Calibri" w:hAnsi="Calibri"/>
          <w:b w:val="0"/>
          <w:i w:val="0"/>
          <w:color w:val="0F172A"/>
          <w:sz w:val="22"/>
        </w:rPr>
        <w:t>Appendix A. Click-by-Click Demonstration Checklist</w:t>
      </w:r>
    </w:p>
    <w:p>
      <w:pPr>
        <w:numPr>
          <w:ilvl w:val="0"/>
          <w:numId w:val="90"/>
        </w:numPr>
        <w:spacing w:after="80" w:line="300" w:lineRule="auto"/>
        <w:widowControl w:val="1"/>
      </w:pPr>
      <w:r>
        <w:rPr>
          <w:rFonts w:ascii="Calibri" w:hAnsi="Calibri"/>
          <w:b w:val="0"/>
          <w:i w:val="0"/>
          <w:color w:val="0F172A"/>
          <w:sz w:val="22"/>
        </w:rPr>
        <w:t>Appendix B. Evidence and Sources</w:t>
      </w:r>
    </w:p>
    <w:p>
      <w:pPr>
        <w:widowControl w:val="1"/>
      </w:pPr>
      <w:r>
        <w:br w:type="page"/>
      </w:r>
    </w:p>
    <w:p>
      <w:pPr>
        <w:pStyle w:val="Heading1"/>
        <w:widowControl w:val="1"/>
      </w:pPr>
      <w:r>
        <w:t>1. Opening Demonstration Script</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Good day. Our capstone is titled Development of a Web- and Mobile-Based Scholarship Finder and Eligibility Platform for Filipino Students with a Decision Support System. The platform brings scholarship discovery, applicant preparation, provider workflows, and administrative verification into one coordinated system. It is designed for Filipino learners across supported grade levels, including younger applicants whose accounts may be managed or supported by a parent or guardian.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the landing page. Briefly show the carousel, the applicant and provider entry points, and the navigation. Do not log in yet.</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The main problem is not simply that scholarships do not exist. Information is fragmented, applicants may not know whether they fit a program, requirements are repeatedly prepared, and smaller providers may not have a complete digital workflow. Our platform addresses these coordination problems while keeping the scholarship provider as the final decision-maker.</w:t>
      </w:r>
    </w:p>
    <w:p>
      <w:pPr>
        <w:pStyle w:val="KeyMessage"/>
        <w:widowControl w:val="1"/>
      </w:pPr>
      <w:r>
        <w:rPr>
          <w:rFonts w:ascii="Calibri" w:hAnsi="Calibri"/>
          <w:b/>
          <w:i w:val="0"/>
          <w:color w:val="0F172A"/>
          <w:sz w:val="22"/>
        </w:rPr>
        <w:t xml:space="preserve">Key message: </w:t>
      </w:r>
      <w:r>
        <w:rPr>
          <w:rFonts w:ascii="Calibri" w:hAnsi="Calibri"/>
          <w:b w:val="0"/>
          <w:i w:val="0"/>
          <w:color w:val="0F172A"/>
          <w:sz w:val="22"/>
        </w:rPr>
        <w:t>The platform is a shared scholarship access and workflow system, not an automatic scholarship-awarding machine.</w:t>
      </w:r>
    </w:p>
    <w:p>
      <w:pPr>
        <w:pStyle w:val="Heading1"/>
        <w:widowControl w:val="1"/>
      </w:pPr>
      <w:r>
        <w:t>2. Platform Goal and Research Title</w:t>
      </w:r>
    </w:p>
    <w:p>
      <w:pPr>
        <w:pStyle w:val="Heading2"/>
        <w:widowControl w:val="1"/>
      </w:pPr>
      <w:r>
        <w:t>2.1 Meaning of the title</w:t>
      </w:r>
    </w:p>
    <w:p>
      <w:pPr>
        <w:keepLines w:val="0"/>
        <w:widowControl w:val="1"/>
      </w:pPr>
      <w:r>
        <w:rPr>
          <w:rFonts w:ascii="Calibri" w:hAnsi="Calibri"/>
          <w:b/>
          <w:i w:val="0"/>
          <w:color w:val="0F172A"/>
          <w:sz w:val="22"/>
        </w:rPr>
        <w:t>Development:</w:t>
      </w:r>
      <w:r>
        <w:rPr>
          <w:rFonts w:ascii="Calibri" w:hAnsi="Calibri"/>
          <w:b w:val="0"/>
          <w:i w:val="0"/>
          <w:color w:val="0F172A"/>
          <w:sz w:val="22"/>
        </w:rPr>
        <w:t xml:space="preserve"> The project includes requirements analysis, database design, implementation, testing, and continuous improvement rather than only producing a visual prototype.</w:t>
      </w:r>
    </w:p>
    <w:p>
      <w:pPr>
        <w:keepLines w:val="0"/>
        <w:widowControl w:val="1"/>
      </w:pPr>
      <w:r>
        <w:rPr>
          <w:rFonts w:ascii="Calibri" w:hAnsi="Calibri"/>
          <w:b/>
          <w:i w:val="0"/>
          <w:color w:val="0F172A"/>
          <w:sz w:val="22"/>
        </w:rPr>
        <w:t>Web-based:</w:t>
      </w:r>
      <w:r>
        <w:rPr>
          <w:rFonts w:ascii="Calibri" w:hAnsi="Calibri"/>
          <w:b w:val="0"/>
          <w:i w:val="0"/>
          <w:color w:val="0F172A"/>
          <w:sz w:val="22"/>
        </w:rPr>
        <w:t xml:space="preserve"> Applicants, providers, and administrators can use the browser-based platform. Provider and administrator operations remain web-focused because they involve larger forms, document review, and privileged controls.</w:t>
      </w:r>
    </w:p>
    <w:p>
      <w:pPr>
        <w:keepLines w:val="0"/>
        <w:widowControl w:val="1"/>
      </w:pPr>
      <w:r>
        <w:rPr>
          <w:rFonts w:ascii="Calibri" w:hAnsi="Calibri"/>
          <w:b/>
          <w:i w:val="0"/>
          <w:color w:val="0F172A"/>
          <w:sz w:val="22"/>
        </w:rPr>
        <w:t>Mobile-based:</w:t>
      </w:r>
      <w:r>
        <w:rPr>
          <w:rFonts w:ascii="Calibri" w:hAnsi="Calibri"/>
          <w:b w:val="0"/>
          <w:i w:val="0"/>
          <w:color w:val="0F172A"/>
          <w:sz w:val="22"/>
        </w:rPr>
        <w:t xml:space="preserve"> The Flutter mobile application focuses on applicant functions such as scholarship discovery, profile access, documents, applications, and notifications.</w:t>
      </w:r>
    </w:p>
    <w:p>
      <w:pPr>
        <w:keepLines w:val="0"/>
        <w:widowControl w:val="1"/>
      </w:pPr>
      <w:r>
        <w:rPr>
          <w:rFonts w:ascii="Calibri" w:hAnsi="Calibri"/>
          <w:b/>
          <w:i w:val="0"/>
          <w:color w:val="0F172A"/>
          <w:sz w:val="22"/>
        </w:rPr>
        <w:t>Scholarship finder:</w:t>
      </w:r>
      <w:r>
        <w:rPr>
          <w:rFonts w:ascii="Calibri" w:hAnsi="Calibri"/>
          <w:b w:val="0"/>
          <w:i w:val="0"/>
          <w:color w:val="0F172A"/>
          <w:sz w:val="22"/>
        </w:rPr>
        <w:t xml:space="preserve"> Published and verified opportunities are organized so learners can browse, filter, save, compare, and view full details.</w:t>
      </w:r>
    </w:p>
    <w:p>
      <w:pPr>
        <w:keepLines w:val="0"/>
        <w:widowControl w:val="1"/>
      </w:pPr>
      <w:r>
        <w:rPr>
          <w:rFonts w:ascii="Calibri" w:hAnsi="Calibri"/>
          <w:b/>
          <w:i w:val="0"/>
          <w:color w:val="0F172A"/>
          <w:sz w:val="22"/>
        </w:rPr>
        <w:t>Eligibility platform:</w:t>
      </w:r>
      <w:r>
        <w:rPr>
          <w:rFonts w:ascii="Calibri" w:hAnsi="Calibri"/>
          <w:b w:val="0"/>
          <w:i w:val="0"/>
          <w:color w:val="0F172A"/>
          <w:sz w:val="22"/>
        </w:rPr>
        <w:t xml:space="preserve"> Applicant profile data is compared with structured provider criteria to show possible fit and blocking conditions before submission.</w:t>
      </w:r>
    </w:p>
    <w:p>
      <w:pPr>
        <w:keepLines w:val="0"/>
        <w:widowControl w:val="1"/>
      </w:pPr>
      <w:r>
        <w:rPr>
          <w:rFonts w:ascii="Calibri" w:hAnsi="Calibri"/>
          <w:b/>
          <w:i w:val="0"/>
          <w:color w:val="0F172A"/>
          <w:sz w:val="22"/>
        </w:rPr>
        <w:t>For Filipino students:</w:t>
      </w:r>
      <w:r>
        <w:rPr>
          <w:rFonts w:ascii="Calibri" w:hAnsi="Calibri"/>
          <w:b w:val="0"/>
          <w:i w:val="0"/>
          <w:color w:val="0F172A"/>
          <w:sz w:val="22"/>
        </w:rPr>
        <w:t xml:space="preserve"> The data model supports multiple education levels, school types, grading scales, locations, courses or strands, and parent or guardian participation.</w:t>
      </w:r>
    </w:p>
    <w:p>
      <w:pPr>
        <w:keepLines w:val="0"/>
        <w:widowControl w:val="1"/>
      </w:pPr>
      <w:r>
        <w:rPr>
          <w:rFonts w:ascii="Calibri" w:hAnsi="Calibri"/>
          <w:b/>
          <w:i w:val="0"/>
          <w:color w:val="0F172A"/>
          <w:sz w:val="22"/>
        </w:rPr>
        <w:t>Decision support system:</w:t>
      </w:r>
      <w:r>
        <w:rPr>
          <w:rFonts w:ascii="Calibri" w:hAnsi="Calibri"/>
          <w:b w:val="0"/>
          <w:i w:val="0"/>
          <w:color w:val="0F172A"/>
          <w:sz w:val="22"/>
        </w:rPr>
        <w:t xml:space="preserve"> The system calculates explainable guidance from provider-defined rules. It supports screening but never makes the final award decision.</w:t>
      </w:r>
    </w:p>
    <w:p>
      <w:pPr>
        <w:pStyle w:val="Heading2"/>
        <w:widowControl w:val="1"/>
      </w:pPr>
      <w:r>
        <w:t>2.2 General goal</w:t>
      </w:r>
    </w:p>
    <w:p>
      <w:pPr>
        <w:keepLines w:val="0"/>
        <w:widowControl w:val="1"/>
      </w:pPr>
      <w:r>
        <w:rPr>
          <w:rFonts w:ascii="Calibri" w:hAnsi="Calibri"/>
          <w:b w:val="0"/>
          <w:i w:val="0"/>
          <w:color w:val="0F172A"/>
          <w:sz w:val="22"/>
        </w:rPr>
        <w:t>To develop a secure and usable web-and-mobile platform that helps learners discover relevant scholarship opportunities, understand eligibility, prepare applications, and track outcomes while helping verified providers manage programs and helping administrators maintain trust, oversight, and accountability.</w:t>
      </w:r>
    </w:p>
    <w:p>
      <w:pPr>
        <w:pStyle w:val="Heading2"/>
        <w:widowControl w:val="1"/>
      </w:pPr>
      <w:r>
        <w:t>2.3 Specific goals</w:t>
      </w:r>
    </w:p>
    <w:p>
      <w:pPr>
        <w:numPr>
          <w:ilvl w:val="0"/>
          <w:numId w:val="90"/>
        </w:numPr>
        <w:spacing w:after="80" w:line="300" w:lineRule="auto"/>
        <w:widowControl w:val="1"/>
      </w:pPr>
      <w:r>
        <w:rPr>
          <w:rFonts w:ascii="Calibri" w:hAnsi="Calibri"/>
          <w:b w:val="0"/>
          <w:i w:val="0"/>
          <w:color w:val="0F172A"/>
          <w:sz w:val="22"/>
        </w:rPr>
        <w:t>Centralize legitimate scholarship information without preventing providers from keeping their own websites or processes.</w:t>
      </w:r>
    </w:p>
    <w:p>
      <w:pPr>
        <w:numPr>
          <w:ilvl w:val="0"/>
          <w:numId w:val="90"/>
        </w:numPr>
        <w:spacing w:after="80" w:line="300" w:lineRule="auto"/>
        <w:widowControl w:val="1"/>
      </w:pPr>
      <w:r>
        <w:rPr>
          <w:rFonts w:ascii="Calibri" w:hAnsi="Calibri"/>
          <w:b w:val="0"/>
          <w:i w:val="0"/>
          <w:color w:val="0F172A"/>
          <w:sz w:val="22"/>
        </w:rPr>
        <w:t>Reduce applicant uncertainty through structured eligibility guidance and transparent explanations.</w:t>
      </w:r>
    </w:p>
    <w:p>
      <w:pPr>
        <w:numPr>
          <w:ilvl w:val="0"/>
          <w:numId w:val="90"/>
        </w:numPr>
        <w:spacing w:after="80" w:line="300" w:lineRule="auto"/>
        <w:widowControl w:val="1"/>
      </w:pPr>
      <w:r>
        <w:rPr>
          <w:rFonts w:ascii="Calibri" w:hAnsi="Calibri"/>
          <w:b w:val="0"/>
          <w:i w:val="0"/>
          <w:color w:val="0F172A"/>
          <w:sz w:val="22"/>
        </w:rPr>
        <w:t>Allow reusable document preparation while preserving program-specific requirements.</w:t>
      </w:r>
    </w:p>
    <w:p>
      <w:pPr>
        <w:numPr>
          <w:ilvl w:val="0"/>
          <w:numId w:val="90"/>
        </w:numPr>
        <w:spacing w:after="80" w:line="300" w:lineRule="auto"/>
        <w:widowControl w:val="1"/>
      </w:pPr>
      <w:r>
        <w:rPr>
          <w:rFonts w:ascii="Calibri" w:hAnsi="Calibri"/>
          <w:b w:val="0"/>
          <w:i w:val="0"/>
          <w:color w:val="0F172A"/>
          <w:sz w:val="22"/>
        </w:rPr>
        <w:t>Support different applicant groups rather than assuming every applicant is a college student.</w:t>
      </w:r>
    </w:p>
    <w:p>
      <w:pPr>
        <w:numPr>
          <w:ilvl w:val="0"/>
          <w:numId w:val="90"/>
        </w:numPr>
        <w:spacing w:after="80" w:line="300" w:lineRule="auto"/>
        <w:widowControl w:val="1"/>
      </w:pPr>
      <w:r>
        <w:rPr>
          <w:rFonts w:ascii="Calibri" w:hAnsi="Calibri"/>
          <w:b w:val="0"/>
          <w:i w:val="0"/>
          <w:color w:val="0F172A"/>
          <w:sz w:val="22"/>
        </w:rPr>
        <w:t>Provide providers with organized program creation, applicant review, schedule communication, and outcome tracking.</w:t>
      </w:r>
    </w:p>
    <w:p>
      <w:pPr>
        <w:numPr>
          <w:ilvl w:val="0"/>
          <w:numId w:val="90"/>
        </w:numPr>
        <w:spacing w:after="80" w:line="300" w:lineRule="auto"/>
        <w:widowControl w:val="1"/>
      </w:pPr>
      <w:r>
        <w:rPr>
          <w:rFonts w:ascii="Calibri" w:hAnsi="Calibri"/>
          <w:b w:val="0"/>
          <w:i w:val="0"/>
          <w:color w:val="0F172A"/>
          <w:sz w:val="22"/>
        </w:rPr>
        <w:t>Provide administrators with provider verification, program review, applicant verification, account management, reports, and logs.</w:t>
      </w:r>
    </w:p>
    <w:p>
      <w:pPr>
        <w:numPr>
          <w:ilvl w:val="0"/>
          <w:numId w:val="90"/>
        </w:numPr>
        <w:spacing w:after="80" w:line="300" w:lineRule="auto"/>
        <w:widowControl w:val="1"/>
      </w:pPr>
      <w:r>
        <w:rPr>
          <w:rFonts w:ascii="Calibri" w:hAnsi="Calibri"/>
          <w:b w:val="0"/>
          <w:i w:val="0"/>
          <w:color w:val="0F172A"/>
          <w:sz w:val="22"/>
        </w:rPr>
        <w:t>Maintain human authority over high-impact scholarship decisions.</w:t>
      </w:r>
    </w:p>
    <w:p>
      <w:pPr>
        <w:pStyle w:val="Heading1"/>
        <w:widowControl w:val="1"/>
      </w:pPr>
      <w:r>
        <w:t>3. Problem, Beneficiaries, and Evidence</w:t>
      </w:r>
    </w:p>
    <w:p>
      <w:pPr>
        <w:pStyle w:val="Heading2"/>
        <w:widowControl w:val="1"/>
      </w:pPr>
      <w:r>
        <w:t>3.1 Why the problem matters</w:t>
      </w:r>
    </w:p>
    <w:p>
      <w:pPr>
        <w:keepLines w:val="0"/>
        <w:widowControl w:val="1"/>
      </w:pPr>
      <w:r>
        <w:rPr>
          <w:rFonts w:ascii="Calibri" w:hAnsi="Calibri"/>
          <w:b w:val="0"/>
          <w:i w:val="0"/>
          <w:color w:val="0F172A"/>
          <w:sz w:val="22"/>
        </w:rPr>
        <w:t>The need for scholarships is connected to educational access. Philippine Statistics Authority data for school year 2022-2023 reported that 18.6 percent of people aged 5 to 24 were not attending school; among those not attending, high education cost or financial concern accounted for 9.9 percent nationally and 23.2 percent in BARMM [1]. This does not prove that a finder alone will solve non-attendance, but it shows why easier access to financial assistance is socially relevant.</w:t>
      </w:r>
    </w:p>
    <w:p>
      <w:pPr>
        <w:keepLines w:val="0"/>
        <w:widowControl w:val="1"/>
      </w:pPr>
      <w:r>
        <w:rPr>
          <w:rFonts w:ascii="Calibri" w:hAnsi="Calibri"/>
          <w:b w:val="0"/>
          <w:i w:val="0"/>
          <w:color w:val="0F172A"/>
          <w:sz w:val="22"/>
        </w:rPr>
        <w:t>The United Nations Sustainable Development Goal 4 calls for inclusive and equitable quality education, equal access to affordable education, and expanded scholarship availability [2]. The platform contributes at the service-delivery level by making opportunities easier to find and processes easier to follow.</w:t>
      </w:r>
    </w:p>
    <w:p>
      <w:pPr>
        <w:pStyle w:val="EvidenceNote"/>
        <w:widowControl w:val="1"/>
      </w:pPr>
      <w:r>
        <w:rPr>
          <w:rFonts w:ascii="Calibri" w:hAnsi="Calibri"/>
          <w:b/>
          <w:i w:val="0"/>
          <w:color w:val="166534"/>
          <w:sz w:val="22"/>
        </w:rPr>
        <w:t xml:space="preserve">Evidence note: </w:t>
      </w:r>
      <w:r>
        <w:rPr>
          <w:rFonts w:ascii="Calibri" w:hAnsi="Calibri"/>
          <w:b w:val="0"/>
          <w:i w:val="0"/>
          <w:color w:val="166534"/>
          <w:sz w:val="22"/>
        </w:rPr>
        <w:t>Use these statistics as context, not as a claim that the platform directly causes school attendance. The system should later measure its own reach, completed applications, awards, and user outcomes.</w:t>
      </w:r>
    </w:p>
    <w:p>
      <w:pPr>
        <w:pStyle w:val="Heading2"/>
        <w:widowControl w:val="1"/>
      </w:pPr>
      <w:r>
        <w:t>3.2 Primary beneficiaries</w:t>
      </w:r>
    </w:p>
    <w:p>
      <w:pPr>
        <w:numPr>
          <w:ilvl w:val="0"/>
          <w:numId w:val="90"/>
        </w:numPr>
        <w:spacing w:after="80" w:line="300" w:lineRule="auto"/>
        <w:widowControl w:val="1"/>
      </w:pPr>
      <w:r>
        <w:rPr>
          <w:rFonts w:ascii="Calibri" w:hAnsi="Calibri"/>
          <w:b w:val="0"/>
          <w:i w:val="0"/>
          <w:color w:val="0F172A"/>
          <w:sz w:val="22"/>
        </w:rPr>
        <w:t>Applicants receive organized opportunities, eligibility guidance, document preparation, application tracking, schedules, notifications, and support.</w:t>
      </w:r>
    </w:p>
    <w:p>
      <w:pPr>
        <w:numPr>
          <w:ilvl w:val="0"/>
          <w:numId w:val="90"/>
        </w:numPr>
        <w:spacing w:after="80" w:line="300" w:lineRule="auto"/>
        <w:widowControl w:val="1"/>
      </w:pPr>
      <w:r>
        <w:rPr>
          <w:rFonts w:ascii="Calibri" w:hAnsi="Calibri"/>
          <w:b w:val="0"/>
          <w:i w:val="0"/>
          <w:color w:val="0F172A"/>
          <w:sz w:val="22"/>
        </w:rPr>
        <w:t>Parents or guardians can support younger learners and maintain guardian contact information when appropriate.</w:t>
      </w:r>
    </w:p>
    <w:p>
      <w:pPr>
        <w:numPr>
          <w:ilvl w:val="0"/>
          <w:numId w:val="90"/>
        </w:numPr>
        <w:spacing w:after="80" w:line="300" w:lineRule="auto"/>
        <w:widowControl w:val="1"/>
      </w:pPr>
      <w:r>
        <w:rPr>
          <w:rFonts w:ascii="Calibri" w:hAnsi="Calibri"/>
          <w:b w:val="0"/>
          <w:i w:val="0"/>
          <w:color w:val="0F172A"/>
          <w:sz w:val="22"/>
        </w:rPr>
        <w:t>Providers receive a reusable workflow for publishing programs and reviewing applicants without building a separate system from the beginning.</w:t>
      </w:r>
    </w:p>
    <w:p>
      <w:pPr>
        <w:numPr>
          <w:ilvl w:val="0"/>
          <w:numId w:val="90"/>
        </w:numPr>
        <w:spacing w:after="80" w:line="300" w:lineRule="auto"/>
        <w:widowControl w:val="1"/>
      </w:pPr>
      <w:r>
        <w:rPr>
          <w:rFonts w:ascii="Calibri" w:hAnsi="Calibri"/>
          <w:b w:val="0"/>
          <w:i w:val="0"/>
          <w:color w:val="0F172A"/>
          <w:sz w:val="22"/>
        </w:rPr>
        <w:t>Administrators receive trust gates, user controls, reports, and audit records needed to protect the platform.</w:t>
      </w:r>
    </w:p>
    <w:p>
      <w:pPr>
        <w:numPr>
          <w:ilvl w:val="0"/>
          <w:numId w:val="90"/>
        </w:numPr>
        <w:spacing w:after="80" w:line="300" w:lineRule="auto"/>
        <w:widowControl w:val="1"/>
      </w:pPr>
      <w:r>
        <w:rPr>
          <w:rFonts w:ascii="Calibri" w:hAnsi="Calibri"/>
          <w:b w:val="0"/>
          <w:i w:val="0"/>
          <w:color w:val="0F172A"/>
          <w:sz w:val="22"/>
        </w:rPr>
        <w:t>Schools and community partners gain a practical referral channel for learners who need assistance.</w:t>
      </w:r>
    </w:p>
    <w:p>
      <w:pPr>
        <w:numPr>
          <w:ilvl w:val="0"/>
          <w:numId w:val="90"/>
        </w:numPr>
        <w:spacing w:after="80" w:line="300" w:lineRule="auto"/>
        <w:widowControl w:val="1"/>
      </w:pPr>
      <w:r>
        <w:rPr>
          <w:rFonts w:ascii="Calibri" w:hAnsi="Calibri"/>
          <w:b w:val="0"/>
          <w:i w:val="0"/>
          <w:color w:val="0F172A"/>
          <w:sz w:val="22"/>
        </w:rPr>
        <w:t>A sponsoring institution gains measurable educational impact and shared infrastructure that can support multiple providers.</w:t>
      </w:r>
    </w:p>
    <w:p>
      <w:pPr>
        <w:pStyle w:val="Heading1"/>
        <w:widowControl w:val="1"/>
      </w:pPr>
      <w:r>
        <w:t>4. Roles and End-to-End Flowchart</w:t>
      </w:r>
    </w:p>
    <w:p>
      <w:pPr>
        <w:pStyle w:val="Heading2"/>
        <w:widowControl w:val="1"/>
      </w:pPr>
      <w:r>
        <w:t>4.1 Role separation</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700"/>
        <w:gridCol w:w="3900"/>
        <w:gridCol w:w="3760"/>
      </w:tblGrid>
      <w:tr>
        <w:trPr>
          <w:tblHeader w:val="true"/>
        </w:trPr>
        <w:tc>
          <w:tcPr>
            <w:tcW w:type="dxa" w:w="1700"/>
            <w:vAlign w:val="center"/>
            <w:tcMar>
              <w:top w:w="90" w:type="dxa"/>
              <w:start w:w="120" w:type="dxa"/>
              <w:bottom w:w="90" w:type="dxa"/>
              <w:end w:w="120" w:type="dxa"/>
            </w:tcMar>
            <w:shd w:fill="E8EEF5"/>
          </w:tcPr>
          <w:p>
            <w:pPr>
              <w:spacing w:after="0"/>
            </w:pPr>
            <w:r>
              <w:rPr>
                <w:rFonts w:ascii="Calibri" w:hAnsi="Calibri"/>
                <w:b/>
                <w:i w:val="0"/>
                <w:color w:val="0F172A"/>
                <w:sz w:val="18"/>
              </w:rPr>
              <w:t>Role</w:t>
            </w:r>
          </w:p>
        </w:tc>
        <w:tc>
          <w:tcPr>
            <w:tcW w:type="dxa" w:w="3900"/>
            <w:vAlign w:val="center"/>
            <w:tcMar>
              <w:top w:w="90" w:type="dxa"/>
              <w:start w:w="120" w:type="dxa"/>
              <w:bottom w:w="90" w:type="dxa"/>
              <w:end w:w="120" w:type="dxa"/>
            </w:tcMar>
            <w:shd w:fill="E8EEF5"/>
          </w:tcPr>
          <w:p>
            <w:pPr>
              <w:spacing w:after="0"/>
            </w:pPr>
            <w:r>
              <w:rPr>
                <w:rFonts w:ascii="Calibri" w:hAnsi="Calibri"/>
                <w:b/>
                <w:i w:val="0"/>
                <w:color w:val="0F172A"/>
                <w:sz w:val="18"/>
              </w:rPr>
              <w:t>Primary responsibility</w:t>
            </w:r>
          </w:p>
        </w:tc>
        <w:tc>
          <w:tcPr>
            <w:tcW w:type="dxa" w:w="3760"/>
            <w:vAlign w:val="center"/>
            <w:tcMar>
              <w:top w:w="90" w:type="dxa"/>
              <w:start w:w="120" w:type="dxa"/>
              <w:bottom w:w="90" w:type="dxa"/>
              <w:end w:w="120" w:type="dxa"/>
            </w:tcMar>
            <w:shd w:fill="E8EEF5"/>
          </w:tcPr>
          <w:p>
            <w:pPr>
              <w:spacing w:after="0"/>
            </w:pPr>
            <w:r>
              <w:rPr>
                <w:rFonts w:ascii="Calibri" w:hAnsi="Calibri"/>
                <w:b/>
                <w:i w:val="0"/>
                <w:color w:val="0F172A"/>
                <w:sz w:val="18"/>
              </w:rPr>
              <w:t>Information boundary</w:t>
            </w:r>
          </w:p>
        </w:tc>
      </w:tr>
      <w:tr>
        <w:tc>
          <w:tcPr>
            <w:tcW w:type="dxa" w:w="1700"/>
          </w:tcPr>
          <w:p>
            <w:pPr>
              <w:spacing w:after="0" w:line="264" w:lineRule="auto"/>
            </w:pPr>
            <w:r>
              <w:rPr>
                <w:rFonts w:ascii="Calibri" w:hAnsi="Calibri"/>
                <w:b w:val="0"/>
                <w:i w:val="0"/>
                <w:color w:val="0F172A"/>
                <w:sz w:val="18"/>
              </w:rPr>
              <w:t>Applicant / guardian</w:t>
            </w:r>
          </w:p>
        </w:tc>
        <w:tc>
          <w:tcPr>
            <w:tcW w:type="dxa" w:w="3900"/>
          </w:tcPr>
          <w:p>
            <w:pPr>
              <w:spacing w:after="0" w:line="264" w:lineRule="auto"/>
            </w:pPr>
            <w:r>
              <w:rPr>
                <w:rFonts w:ascii="Calibri" w:hAnsi="Calibri"/>
                <w:b w:val="0"/>
                <w:i w:val="0"/>
                <w:color w:val="0F172A"/>
                <w:sz w:val="18"/>
              </w:rPr>
              <w:t>Maintain one learner record, prepare files, discover programs, submit and track applications.</w:t>
            </w:r>
          </w:p>
        </w:tc>
        <w:tc>
          <w:tcPr>
            <w:tcW w:type="dxa" w:w="3760"/>
          </w:tcPr>
          <w:p>
            <w:pPr>
              <w:spacing w:after="0" w:line="264" w:lineRule="auto"/>
            </w:pPr>
            <w:r>
              <w:rPr>
                <w:rFonts w:ascii="Calibri" w:hAnsi="Calibri"/>
                <w:b w:val="0"/>
                <w:i w:val="0"/>
                <w:color w:val="0F172A"/>
                <w:sz w:val="18"/>
              </w:rPr>
              <w:t>Can access only their own account, documents, and applications.</w:t>
            </w:r>
          </w:p>
        </w:tc>
      </w:tr>
      <w:tr>
        <w:tc>
          <w:tcPr>
            <w:tcW w:type="dxa" w:w="1700"/>
          </w:tcPr>
          <w:p>
            <w:pPr>
              <w:spacing w:after="0" w:line="264" w:lineRule="auto"/>
            </w:pPr>
            <w:r>
              <w:rPr>
                <w:rFonts w:ascii="Calibri" w:hAnsi="Calibri"/>
                <w:b w:val="0"/>
                <w:i w:val="0"/>
                <w:color w:val="0F172A"/>
                <w:sz w:val="18"/>
              </w:rPr>
              <w:t>Provider</w:t>
            </w:r>
          </w:p>
        </w:tc>
        <w:tc>
          <w:tcPr>
            <w:tcW w:type="dxa" w:w="3900"/>
          </w:tcPr>
          <w:p>
            <w:pPr>
              <w:spacing w:after="0" w:line="264" w:lineRule="auto"/>
            </w:pPr>
            <w:r>
              <w:rPr>
                <w:rFonts w:ascii="Calibri" w:hAnsi="Calibri"/>
                <w:b w:val="0"/>
                <w:i w:val="0"/>
                <w:color w:val="0F172A"/>
                <w:sz w:val="18"/>
              </w:rPr>
              <w:t>Maintain organization proof, create programs, review applicants, communicate stages, and record outcomes.</w:t>
            </w:r>
          </w:p>
        </w:tc>
        <w:tc>
          <w:tcPr>
            <w:tcW w:type="dxa" w:w="3760"/>
          </w:tcPr>
          <w:p>
            <w:pPr>
              <w:spacing w:after="0" w:line="264" w:lineRule="auto"/>
            </w:pPr>
            <w:r>
              <w:rPr>
                <w:rFonts w:ascii="Calibri" w:hAnsi="Calibri"/>
                <w:b w:val="0"/>
                <w:i w:val="0"/>
                <w:color w:val="0F172A"/>
                <w:sz w:val="18"/>
              </w:rPr>
              <w:t>Can access applicants connected to its own programs, subject to permissions.</w:t>
            </w:r>
          </w:p>
        </w:tc>
      </w:tr>
      <w:tr>
        <w:tc>
          <w:tcPr>
            <w:tcW w:type="dxa" w:w="1700"/>
          </w:tcPr>
          <w:p>
            <w:pPr>
              <w:spacing w:after="0" w:line="264" w:lineRule="auto"/>
            </w:pPr>
            <w:r>
              <w:rPr>
                <w:rFonts w:ascii="Calibri" w:hAnsi="Calibri"/>
                <w:b w:val="0"/>
                <w:i w:val="0"/>
                <w:color w:val="0F172A"/>
                <w:sz w:val="18"/>
              </w:rPr>
              <w:t>Administrator</w:t>
            </w:r>
          </w:p>
        </w:tc>
        <w:tc>
          <w:tcPr>
            <w:tcW w:type="dxa" w:w="3900"/>
          </w:tcPr>
          <w:p>
            <w:pPr>
              <w:spacing w:after="0" w:line="264" w:lineRule="auto"/>
            </w:pPr>
            <w:r>
              <w:rPr>
                <w:rFonts w:ascii="Calibri" w:hAnsi="Calibri"/>
                <w:b w:val="0"/>
                <w:i w:val="0"/>
                <w:color w:val="0F172A"/>
                <w:sz w:val="18"/>
              </w:rPr>
              <w:t>Verify providers and applicants, review programs, manage accounts, handle reports, and inspect logs.</w:t>
            </w:r>
          </w:p>
        </w:tc>
        <w:tc>
          <w:tcPr>
            <w:tcW w:type="dxa" w:w="3760"/>
          </w:tcPr>
          <w:p>
            <w:pPr>
              <w:spacing w:after="0" w:line="264" w:lineRule="auto"/>
            </w:pPr>
            <w:r>
              <w:rPr>
                <w:rFonts w:ascii="Calibri" w:hAnsi="Calibri"/>
                <w:b w:val="0"/>
                <w:i w:val="0"/>
                <w:color w:val="0F172A"/>
                <w:sz w:val="18"/>
              </w:rPr>
              <w:t>Uses privileged access for platform governance and documented administrative purposes.</w:t>
            </w:r>
          </w:p>
        </w:tc>
      </w:tr>
    </w:tbl>
    <w:p>
      <w:pPr>
        <w:spacing w:after="0"/>
        <w:widowControl w:val="1"/>
      </w:pPr>
    </w:p>
    <w:p>
      <w:pPr>
        <w:keepLines w:val="0"/>
        <w:widowControl w:val="1"/>
      </w:pPr>
      <w:r>
        <w:rPr>
          <w:rFonts w:ascii="Calibri" w:hAnsi="Calibri"/>
          <w:b w:val="0"/>
          <w:i w:val="0"/>
          <w:color w:val="0F172A"/>
          <w:sz w:val="22"/>
        </w:rPr>
        <w:t>Role-based separation follows the least-privilege principle: authenticated users should receive only the access required for their work, not universal access to every record [8].</w:t>
      </w:r>
    </w:p>
    <w:p>
      <w:pPr>
        <w:pStyle w:val="Heading2"/>
        <w:widowControl w:val="1"/>
      </w:pPr>
      <w:r>
        <w:t>4.2 Master process flowchart</w:t>
      </w:r>
    </w:p>
    <w:p>
      <w:pPr>
        <w:numPr>
          <w:ilvl w:val="0"/>
          <w:numId w:val="91"/>
        </w:numPr>
        <w:spacing w:after="80" w:line="300" w:lineRule="auto"/>
        <w:widowControl w:val="1"/>
      </w:pPr>
      <w:r>
        <w:rPr>
          <w:rFonts w:ascii="Calibri" w:hAnsi="Calibri"/>
          <w:b w:val="0"/>
          <w:i w:val="0"/>
          <w:color w:val="0F172A"/>
          <w:sz w:val="22"/>
        </w:rPr>
        <w:t>Public visitor opens the landing page and chooses applicant or provider registration.</w:t>
      </w:r>
    </w:p>
    <w:p>
      <w:pPr>
        <w:numPr>
          <w:ilvl w:val="0"/>
          <w:numId w:val="91"/>
        </w:numPr>
        <w:spacing w:after="80" w:line="300" w:lineRule="auto"/>
        <w:widowControl w:val="1"/>
      </w:pPr>
      <w:r>
        <w:rPr>
          <w:rFonts w:ascii="Calibri" w:hAnsi="Calibri"/>
          <w:b w:val="0"/>
          <w:i w:val="0"/>
          <w:color w:val="0F172A"/>
          <w:sz w:val="22"/>
        </w:rPr>
        <w:t>The user submits registration details and verifies a six-digit email code before the account is created.</w:t>
      </w:r>
    </w:p>
    <w:p>
      <w:pPr>
        <w:numPr>
          <w:ilvl w:val="0"/>
          <w:numId w:val="91"/>
        </w:numPr>
        <w:spacing w:after="80" w:line="300" w:lineRule="auto"/>
        <w:widowControl w:val="1"/>
      </w:pPr>
      <w:r>
        <w:rPr>
          <w:rFonts w:ascii="Calibri" w:hAnsi="Calibri"/>
          <w:b w:val="0"/>
          <w:i w:val="0"/>
          <w:color w:val="0F172A"/>
          <w:sz w:val="22"/>
        </w:rPr>
        <w:t>The system assigns the correct role and redirects the user to the role-specific portal.</w:t>
      </w:r>
    </w:p>
    <w:p>
      <w:pPr>
        <w:numPr>
          <w:ilvl w:val="0"/>
          <w:numId w:val="91"/>
        </w:numPr>
        <w:spacing w:after="80" w:line="300" w:lineRule="auto"/>
        <w:widowControl w:val="1"/>
      </w:pPr>
      <w:r>
        <w:rPr>
          <w:rFonts w:ascii="Calibri" w:hAnsi="Calibri"/>
          <w:b w:val="0"/>
          <w:i w:val="0"/>
          <w:color w:val="0F172A"/>
          <w:sz w:val="22"/>
        </w:rPr>
        <w:t>The applicant may explore scholarships immediately, but completes required profile fields before submitting an application.</w:t>
      </w:r>
    </w:p>
    <w:p>
      <w:pPr>
        <w:numPr>
          <w:ilvl w:val="0"/>
          <w:numId w:val="91"/>
        </w:numPr>
        <w:spacing w:after="80" w:line="300" w:lineRule="auto"/>
        <w:widowControl w:val="1"/>
      </w:pPr>
      <w:r>
        <w:rPr>
          <w:rFonts w:ascii="Calibri" w:hAnsi="Calibri"/>
          <w:b w:val="0"/>
          <w:i w:val="0"/>
          <w:color w:val="0F172A"/>
          <w:sz w:val="22"/>
        </w:rPr>
        <w:t>The provider completes its organization profile, uploads authority proof, and waits for administrator verification.</w:t>
      </w:r>
    </w:p>
    <w:p>
      <w:pPr>
        <w:numPr>
          <w:ilvl w:val="0"/>
          <w:numId w:val="91"/>
        </w:numPr>
        <w:spacing w:after="80" w:line="300" w:lineRule="auto"/>
        <w:widowControl w:val="1"/>
      </w:pPr>
      <w:r>
        <w:rPr>
          <w:rFonts w:ascii="Calibri" w:hAnsi="Calibri"/>
          <w:b w:val="0"/>
          <w:i w:val="0"/>
          <w:color w:val="0F172A"/>
          <w:sz w:val="22"/>
        </w:rPr>
        <w:t>A verified provider creates a program and submits it for administrator review.</w:t>
      </w:r>
    </w:p>
    <w:p>
      <w:pPr>
        <w:numPr>
          <w:ilvl w:val="0"/>
          <w:numId w:val="91"/>
        </w:numPr>
        <w:spacing w:after="80" w:line="300" w:lineRule="auto"/>
        <w:widowControl w:val="1"/>
      </w:pPr>
      <w:r>
        <w:rPr>
          <w:rFonts w:ascii="Calibri" w:hAnsi="Calibri"/>
          <w:b w:val="0"/>
          <w:i w:val="0"/>
          <w:color w:val="0F172A"/>
          <w:sz w:val="22"/>
        </w:rPr>
        <w:t>The administrator approves a compliant program, making it publicly visible while its deadline remains open.</w:t>
      </w:r>
    </w:p>
    <w:p>
      <w:pPr>
        <w:numPr>
          <w:ilvl w:val="0"/>
          <w:numId w:val="91"/>
        </w:numPr>
        <w:spacing w:after="80" w:line="300" w:lineRule="auto"/>
        <w:widowControl w:val="1"/>
      </w:pPr>
      <w:r>
        <w:rPr>
          <w:rFonts w:ascii="Calibri" w:hAnsi="Calibri"/>
          <w:b w:val="0"/>
          <w:i w:val="0"/>
          <w:color w:val="0F172A"/>
          <w:sz w:val="22"/>
        </w:rPr>
        <w:t>The applicant reviews matching guidance, prepares documents, accepts application terms, and submits.</w:t>
      </w:r>
    </w:p>
    <w:p>
      <w:pPr>
        <w:numPr>
          <w:ilvl w:val="0"/>
          <w:numId w:val="91"/>
        </w:numPr>
        <w:spacing w:after="80" w:line="300" w:lineRule="auto"/>
        <w:widowControl w:val="1"/>
      </w:pPr>
      <w:r>
        <w:rPr>
          <w:rFonts w:ascii="Calibri" w:hAnsi="Calibri"/>
          <w:b w:val="0"/>
          <w:i w:val="0"/>
          <w:color w:val="0F172A"/>
          <w:sz w:val="22"/>
        </w:rPr>
        <w:t>The provider reviews eligibility, profile evidence, and application files, then approves or rejects according to configured stages.</w:t>
      </w:r>
    </w:p>
    <w:p>
      <w:pPr>
        <w:numPr>
          <w:ilvl w:val="0"/>
          <w:numId w:val="91"/>
        </w:numPr>
        <w:spacing w:after="80" w:line="300" w:lineRule="auto"/>
        <w:widowControl w:val="1"/>
      </w:pPr>
      <w:r>
        <w:rPr>
          <w:rFonts w:ascii="Calibri" w:hAnsi="Calibri"/>
          <w:b w:val="0"/>
          <w:i w:val="0"/>
          <w:color w:val="0F172A"/>
          <w:sz w:val="22"/>
        </w:rPr>
        <w:t>If required, exam or interview details are announced and handled outside the portal; the provider records the result.</w:t>
      </w:r>
    </w:p>
    <w:p>
      <w:pPr>
        <w:numPr>
          <w:ilvl w:val="0"/>
          <w:numId w:val="91"/>
        </w:numPr>
        <w:spacing w:after="80" w:line="300" w:lineRule="auto"/>
        <w:widowControl w:val="1"/>
      </w:pPr>
      <w:r>
        <w:rPr>
          <w:rFonts w:ascii="Calibri" w:hAnsi="Calibri"/>
          <w:b w:val="0"/>
          <w:i w:val="0"/>
          <w:color w:val="0F172A"/>
          <w:sz w:val="22"/>
        </w:rPr>
        <w:t>Approved recipients receive benefit and distribution information, while notifications and history preserve the process record.</w:t>
      </w:r>
    </w:p>
    <w:p>
      <w:pPr>
        <w:numPr>
          <w:ilvl w:val="0"/>
          <w:numId w:val="91"/>
        </w:numPr>
        <w:spacing w:after="80" w:line="300" w:lineRule="auto"/>
        <w:widowControl w:val="1"/>
      </w:pPr>
      <w:r>
        <w:rPr>
          <w:rFonts w:ascii="Calibri" w:hAnsi="Calibri"/>
          <w:b w:val="0"/>
          <w:i w:val="0"/>
          <w:color w:val="0F172A"/>
          <w:sz w:val="22"/>
        </w:rPr>
        <w:t>Reports, disputes, account actions, and privileged changes remain available to administrators through reports and logs.</w:t>
      </w:r>
    </w:p>
    <w:p>
      <w:pPr>
        <w:pStyle w:val="EvidenceNote"/>
        <w:widowControl w:val="1"/>
      </w:pPr>
      <w:r>
        <w:rPr>
          <w:rFonts w:ascii="Calibri" w:hAnsi="Calibri"/>
          <w:b/>
          <w:i w:val="0"/>
          <w:color w:val="166534"/>
          <w:sz w:val="22"/>
        </w:rPr>
        <w:t xml:space="preserve">Why this order: </w:t>
      </w:r>
      <w:r>
        <w:rPr>
          <w:rFonts w:ascii="Calibri" w:hAnsi="Calibri"/>
          <w:b w:val="0"/>
          <w:i w:val="0"/>
          <w:color w:val="166534"/>
          <w:sz w:val="22"/>
        </w:rPr>
        <w:t>Trust is established before public publication, applicant data is disclosed only after a deliberate application, and the DSS remains advisory. The sequence reduces fraud, unnecessary exposure, incomplete submissions, and arbitrary status changes.</w:t>
      </w:r>
    </w:p>
    <w:p>
      <w:pPr>
        <w:pStyle w:val="Heading1"/>
        <w:widowControl w:val="1"/>
      </w:pPr>
      <w:r>
        <w:t>5. Demonstration Preparation and Run of Show</w:t>
      </w:r>
    </w:p>
    <w:p>
      <w:pPr>
        <w:pStyle w:val="Heading2"/>
        <w:widowControl w:val="1"/>
      </w:pPr>
      <w:r>
        <w:t>5.1 Before the panel arrives</w:t>
      </w:r>
    </w:p>
    <w:p>
      <w:pPr>
        <w:numPr>
          <w:ilvl w:val="0"/>
          <w:numId w:val="90"/>
        </w:numPr>
        <w:spacing w:after="80" w:line="300" w:lineRule="auto"/>
        <w:widowControl w:val="1"/>
      </w:pPr>
      <w:r>
        <w:rPr>
          <w:rFonts w:ascii="Calibri" w:hAnsi="Calibri"/>
          <w:b w:val="0"/>
          <w:i w:val="0"/>
          <w:color w:val="0F172A"/>
          <w:sz w:val="22"/>
        </w:rPr>
        <w:t>Start Laravel and the frontend build, then confirm the landing page loads.</w:t>
      </w:r>
    </w:p>
    <w:p>
      <w:pPr>
        <w:numPr>
          <w:ilvl w:val="0"/>
          <w:numId w:val="90"/>
        </w:numPr>
        <w:spacing w:after="80" w:line="300" w:lineRule="auto"/>
        <w:widowControl w:val="1"/>
      </w:pPr>
      <w:r>
        <w:rPr>
          <w:rFonts w:ascii="Calibri" w:hAnsi="Calibri"/>
          <w:b w:val="0"/>
          <w:i w:val="0"/>
          <w:color w:val="0F172A"/>
          <w:sz w:val="22"/>
        </w:rPr>
        <w:t>Use separate browser profiles or incognito windows for applicant, provider, and administrator roles.</w:t>
      </w:r>
    </w:p>
    <w:p>
      <w:pPr>
        <w:numPr>
          <w:ilvl w:val="0"/>
          <w:numId w:val="90"/>
        </w:numPr>
        <w:spacing w:after="80" w:line="300" w:lineRule="auto"/>
        <w:widowControl w:val="1"/>
      </w:pPr>
      <w:r>
        <w:rPr>
          <w:rFonts w:ascii="Calibri" w:hAnsi="Calibri"/>
          <w:b w:val="0"/>
          <w:i w:val="0"/>
          <w:color w:val="0F172A"/>
          <w:sz w:val="22"/>
        </w:rPr>
        <w:t>Confirm the demo provider is verified and has at least one published program with documents, benefits, and a configured selection process.</w:t>
      </w:r>
    </w:p>
    <w:p>
      <w:pPr>
        <w:numPr>
          <w:ilvl w:val="0"/>
          <w:numId w:val="90"/>
        </w:numPr>
        <w:spacing w:after="80" w:line="300" w:lineRule="auto"/>
        <w:widowControl w:val="1"/>
      </w:pPr>
      <w:r>
        <w:rPr>
          <w:rFonts w:ascii="Calibri" w:hAnsi="Calibri"/>
          <w:b w:val="0"/>
          <w:i w:val="0"/>
          <w:color w:val="0F172A"/>
          <w:sz w:val="22"/>
        </w:rPr>
        <w:t>Confirm the demo applicant has enough profile information to produce meaningful matching results.</w:t>
      </w:r>
    </w:p>
    <w:p>
      <w:pPr>
        <w:numPr>
          <w:ilvl w:val="0"/>
          <w:numId w:val="90"/>
        </w:numPr>
        <w:spacing w:after="80" w:line="300" w:lineRule="auto"/>
        <w:widowControl w:val="1"/>
      </w:pPr>
      <w:r>
        <w:rPr>
          <w:rFonts w:ascii="Calibri" w:hAnsi="Calibri"/>
          <w:b w:val="0"/>
          <w:i w:val="0"/>
          <w:color w:val="0F172A"/>
          <w:sz w:val="22"/>
        </w:rPr>
        <w:t>Keep sample PDF or image documents ready for upload. Do not use real personal records.</w:t>
      </w:r>
    </w:p>
    <w:p>
      <w:pPr>
        <w:numPr>
          <w:ilvl w:val="0"/>
          <w:numId w:val="90"/>
        </w:numPr>
        <w:spacing w:after="80" w:line="300" w:lineRule="auto"/>
        <w:widowControl w:val="1"/>
      </w:pPr>
      <w:r>
        <w:rPr>
          <w:rFonts w:ascii="Calibri" w:hAnsi="Calibri"/>
          <w:b w:val="0"/>
          <w:i w:val="0"/>
          <w:color w:val="0F172A"/>
          <w:sz w:val="22"/>
        </w:rPr>
        <w:t>If email delivery is unavailable, explain the intended email step but do not expose SMTP credentials.</w:t>
      </w:r>
    </w:p>
    <w:p>
      <w:pPr>
        <w:numPr>
          <w:ilvl w:val="0"/>
          <w:numId w:val="90"/>
        </w:numPr>
        <w:spacing w:after="80" w:line="300" w:lineRule="auto"/>
        <w:widowControl w:val="1"/>
      </w:pPr>
      <w:r>
        <w:rPr>
          <w:rFonts w:ascii="Calibri" w:hAnsi="Calibri"/>
          <w:b w:val="0"/>
          <w:i w:val="0"/>
          <w:color w:val="0F172A"/>
          <w:sz w:val="22"/>
        </w:rPr>
        <w:t>Do not rely on live external map, email, or payment services as the only demonstration path.</w:t>
      </w:r>
    </w:p>
    <w:p>
      <w:pPr>
        <w:pStyle w:val="Heading2"/>
        <w:widowControl w:val="1"/>
      </w:pPr>
      <w:r>
        <w:t>5.2 Recommended 30-minute sequence</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050"/>
        <w:gridCol w:w="1600"/>
        <w:gridCol w:w="3650"/>
        <w:gridCol w:w="3060"/>
      </w:tblGrid>
      <w:tr>
        <w:trPr>
          <w:tblHeader w:val="true"/>
        </w:trPr>
        <w:tc>
          <w:tcPr>
            <w:tcW w:type="dxa" w:w="1050"/>
            <w:vAlign w:val="center"/>
            <w:tcMar>
              <w:top w:w="90" w:type="dxa"/>
              <w:start w:w="120" w:type="dxa"/>
              <w:bottom w:w="90" w:type="dxa"/>
              <w:end w:w="120" w:type="dxa"/>
            </w:tcMar>
            <w:shd w:fill="E8EEF5"/>
          </w:tcPr>
          <w:p>
            <w:pPr>
              <w:spacing w:after="0"/>
            </w:pPr>
            <w:r>
              <w:rPr>
                <w:rFonts w:ascii="Calibri" w:hAnsi="Calibri"/>
                <w:b/>
                <w:i w:val="0"/>
                <w:color w:val="0F172A"/>
                <w:sz w:val="18"/>
              </w:rPr>
              <w:t>Time</w:t>
            </w:r>
          </w:p>
        </w:tc>
        <w:tc>
          <w:tcPr>
            <w:tcW w:type="dxa" w:w="1600"/>
            <w:vAlign w:val="center"/>
            <w:tcMar>
              <w:top w:w="90" w:type="dxa"/>
              <w:start w:w="120" w:type="dxa"/>
              <w:bottom w:w="90" w:type="dxa"/>
              <w:end w:w="120" w:type="dxa"/>
            </w:tcMar>
            <w:shd w:fill="E8EEF5"/>
          </w:tcPr>
          <w:p>
            <w:pPr>
              <w:spacing w:after="0"/>
            </w:pPr>
            <w:r>
              <w:rPr>
                <w:rFonts w:ascii="Calibri" w:hAnsi="Calibri"/>
                <w:b/>
                <w:i w:val="0"/>
                <w:color w:val="0F172A"/>
                <w:sz w:val="18"/>
              </w:rPr>
              <w:t>Role / page</w:t>
            </w:r>
          </w:p>
        </w:tc>
        <w:tc>
          <w:tcPr>
            <w:tcW w:type="dxa" w:w="3650"/>
            <w:vAlign w:val="center"/>
            <w:tcMar>
              <w:top w:w="90" w:type="dxa"/>
              <w:start w:w="120" w:type="dxa"/>
              <w:bottom w:w="90" w:type="dxa"/>
              <w:end w:w="120" w:type="dxa"/>
            </w:tcMar>
            <w:shd w:fill="E8EEF5"/>
          </w:tcPr>
          <w:p>
            <w:pPr>
              <w:spacing w:after="0"/>
            </w:pPr>
            <w:r>
              <w:rPr>
                <w:rFonts w:ascii="Calibri" w:hAnsi="Calibri"/>
                <w:b/>
                <w:i w:val="0"/>
                <w:color w:val="0F172A"/>
                <w:sz w:val="18"/>
              </w:rPr>
              <w:t>Demonstrate</w:t>
            </w:r>
          </w:p>
        </w:tc>
        <w:tc>
          <w:tcPr>
            <w:tcW w:type="dxa" w:w="3060"/>
            <w:vAlign w:val="center"/>
            <w:tcMar>
              <w:top w:w="90" w:type="dxa"/>
              <w:start w:w="120" w:type="dxa"/>
              <w:bottom w:w="90" w:type="dxa"/>
              <w:end w:w="120" w:type="dxa"/>
            </w:tcMar>
            <w:shd w:fill="E8EEF5"/>
          </w:tcPr>
          <w:p>
            <w:pPr>
              <w:spacing w:after="0"/>
            </w:pPr>
            <w:r>
              <w:rPr>
                <w:rFonts w:ascii="Calibri" w:hAnsi="Calibri"/>
                <w:b/>
                <w:i w:val="0"/>
                <w:color w:val="0F172A"/>
                <w:sz w:val="18"/>
              </w:rPr>
              <w:t>Main point</w:t>
            </w:r>
          </w:p>
        </w:tc>
      </w:tr>
      <w:tr>
        <w:tc>
          <w:tcPr>
            <w:tcW w:type="dxa" w:w="1050"/>
          </w:tcPr>
          <w:p>
            <w:pPr>
              <w:spacing w:after="0" w:line="264" w:lineRule="auto"/>
            </w:pPr>
            <w:r>
              <w:rPr>
                <w:rFonts w:ascii="Calibri" w:hAnsi="Calibri"/>
                <w:b w:val="0"/>
                <w:i w:val="0"/>
                <w:color w:val="0F172A"/>
                <w:sz w:val="18"/>
              </w:rPr>
              <w:t>0-3 min</w:t>
            </w:r>
          </w:p>
        </w:tc>
        <w:tc>
          <w:tcPr>
            <w:tcW w:type="dxa" w:w="1600"/>
          </w:tcPr>
          <w:p>
            <w:pPr>
              <w:spacing w:after="0" w:line="264" w:lineRule="auto"/>
            </w:pPr>
            <w:r>
              <w:rPr>
                <w:rFonts w:ascii="Calibri" w:hAnsi="Calibri"/>
                <w:b w:val="0"/>
                <w:i w:val="0"/>
                <w:color w:val="0F172A"/>
                <w:sz w:val="18"/>
              </w:rPr>
              <w:t>Landing page</w:t>
            </w:r>
          </w:p>
        </w:tc>
        <w:tc>
          <w:tcPr>
            <w:tcW w:type="dxa" w:w="3650"/>
          </w:tcPr>
          <w:p>
            <w:pPr>
              <w:spacing w:after="0" w:line="264" w:lineRule="auto"/>
            </w:pPr>
            <w:r>
              <w:rPr>
                <w:rFonts w:ascii="Calibri" w:hAnsi="Calibri"/>
                <w:b w:val="0"/>
                <w:i w:val="0"/>
                <w:color w:val="0F172A"/>
                <w:sz w:val="18"/>
              </w:rPr>
              <w:t>Title, users, public scholarship value.</w:t>
            </w:r>
          </w:p>
        </w:tc>
        <w:tc>
          <w:tcPr>
            <w:tcW w:type="dxa" w:w="3060"/>
          </w:tcPr>
          <w:p>
            <w:pPr>
              <w:spacing w:after="0" w:line="264" w:lineRule="auto"/>
            </w:pPr>
            <w:r>
              <w:rPr>
                <w:rFonts w:ascii="Calibri" w:hAnsi="Calibri"/>
                <w:b w:val="0"/>
                <w:i w:val="0"/>
                <w:color w:val="0F172A"/>
                <w:sz w:val="18"/>
              </w:rPr>
              <w:t>One trusted entry point.</w:t>
            </w:r>
          </w:p>
        </w:tc>
      </w:tr>
      <w:tr>
        <w:tc>
          <w:tcPr>
            <w:tcW w:type="dxa" w:w="1050"/>
          </w:tcPr>
          <w:p>
            <w:pPr>
              <w:spacing w:after="0" w:line="264" w:lineRule="auto"/>
            </w:pPr>
            <w:r>
              <w:rPr>
                <w:rFonts w:ascii="Calibri" w:hAnsi="Calibri"/>
                <w:b w:val="0"/>
                <w:i w:val="0"/>
                <w:color w:val="0F172A"/>
                <w:sz w:val="18"/>
              </w:rPr>
              <w:t>3-6 min</w:t>
            </w:r>
          </w:p>
        </w:tc>
        <w:tc>
          <w:tcPr>
            <w:tcW w:type="dxa" w:w="1600"/>
          </w:tcPr>
          <w:p>
            <w:pPr>
              <w:spacing w:after="0" w:line="264" w:lineRule="auto"/>
            </w:pPr>
            <w:r>
              <w:rPr>
                <w:rFonts w:ascii="Calibri" w:hAnsi="Calibri"/>
                <w:b w:val="0"/>
                <w:i w:val="0"/>
                <w:color w:val="0F172A"/>
                <w:sz w:val="18"/>
              </w:rPr>
              <w:t>Registration</w:t>
            </w:r>
          </w:p>
        </w:tc>
        <w:tc>
          <w:tcPr>
            <w:tcW w:type="dxa" w:w="3650"/>
          </w:tcPr>
          <w:p>
            <w:pPr>
              <w:spacing w:after="0" w:line="264" w:lineRule="auto"/>
            </w:pPr>
            <w:r>
              <w:rPr>
                <w:rFonts w:ascii="Calibri" w:hAnsi="Calibri"/>
                <w:b w:val="0"/>
                <w:i w:val="0"/>
                <w:color w:val="0F172A"/>
                <w:sz w:val="18"/>
              </w:rPr>
              <w:t>Applicant/provider separation and email-code verification.</w:t>
            </w:r>
          </w:p>
        </w:tc>
        <w:tc>
          <w:tcPr>
            <w:tcW w:type="dxa" w:w="3060"/>
          </w:tcPr>
          <w:p>
            <w:pPr>
              <w:spacing w:after="0" w:line="264" w:lineRule="auto"/>
            </w:pPr>
            <w:r>
              <w:rPr>
                <w:rFonts w:ascii="Calibri" w:hAnsi="Calibri"/>
                <w:b w:val="0"/>
                <w:i w:val="0"/>
                <w:color w:val="0F172A"/>
                <w:sz w:val="18"/>
              </w:rPr>
              <w:t>Correct identity and role before account creation.</w:t>
            </w:r>
          </w:p>
        </w:tc>
      </w:tr>
      <w:tr>
        <w:tc>
          <w:tcPr>
            <w:tcW w:type="dxa" w:w="1050"/>
          </w:tcPr>
          <w:p>
            <w:pPr>
              <w:spacing w:after="0" w:line="264" w:lineRule="auto"/>
            </w:pPr>
            <w:r>
              <w:rPr>
                <w:rFonts w:ascii="Calibri" w:hAnsi="Calibri"/>
                <w:b w:val="0"/>
                <w:i w:val="0"/>
                <w:color w:val="0F172A"/>
                <w:sz w:val="18"/>
              </w:rPr>
              <w:t>6-15 min</w:t>
            </w:r>
          </w:p>
        </w:tc>
        <w:tc>
          <w:tcPr>
            <w:tcW w:type="dxa" w:w="1600"/>
          </w:tcPr>
          <w:p>
            <w:pPr>
              <w:spacing w:after="0" w:line="264" w:lineRule="auto"/>
            </w:pPr>
            <w:r>
              <w:rPr>
                <w:rFonts w:ascii="Calibri" w:hAnsi="Calibri"/>
                <w:b w:val="0"/>
                <w:i w:val="0"/>
                <w:color w:val="0F172A"/>
                <w:sz w:val="18"/>
              </w:rPr>
              <w:t>Applicant</w:t>
            </w:r>
          </w:p>
        </w:tc>
        <w:tc>
          <w:tcPr>
            <w:tcW w:type="dxa" w:w="3650"/>
          </w:tcPr>
          <w:p>
            <w:pPr>
              <w:spacing w:after="0" w:line="264" w:lineRule="auto"/>
            </w:pPr>
            <w:r>
              <w:rPr>
                <w:rFonts w:ascii="Calibri" w:hAnsi="Calibri"/>
                <w:b w:val="0"/>
                <w:i w:val="0"/>
                <w:color w:val="0F172A"/>
                <w:sz w:val="18"/>
              </w:rPr>
              <w:t>Dashboard, profile, documents, finder, match explanation, and application wizard.</w:t>
            </w:r>
          </w:p>
        </w:tc>
        <w:tc>
          <w:tcPr>
            <w:tcW w:type="dxa" w:w="3060"/>
          </w:tcPr>
          <w:p>
            <w:pPr>
              <w:spacing w:after="0" w:line="264" w:lineRule="auto"/>
            </w:pPr>
            <w:r>
              <w:rPr>
                <w:rFonts w:ascii="Calibri" w:hAnsi="Calibri"/>
                <w:b w:val="0"/>
                <w:i w:val="0"/>
                <w:color w:val="0F172A"/>
                <w:sz w:val="18"/>
              </w:rPr>
              <w:t>Guided preparation rather than blind submission.</w:t>
            </w:r>
          </w:p>
        </w:tc>
      </w:tr>
      <w:tr>
        <w:tc>
          <w:tcPr>
            <w:tcW w:type="dxa" w:w="1050"/>
          </w:tcPr>
          <w:p>
            <w:pPr>
              <w:spacing w:after="0" w:line="264" w:lineRule="auto"/>
            </w:pPr>
            <w:r>
              <w:rPr>
                <w:rFonts w:ascii="Calibri" w:hAnsi="Calibri"/>
                <w:b w:val="0"/>
                <w:i w:val="0"/>
                <w:color w:val="0F172A"/>
                <w:sz w:val="18"/>
              </w:rPr>
              <w:t>15-22 min</w:t>
            </w:r>
          </w:p>
        </w:tc>
        <w:tc>
          <w:tcPr>
            <w:tcW w:type="dxa" w:w="1600"/>
          </w:tcPr>
          <w:p>
            <w:pPr>
              <w:spacing w:after="0" w:line="264" w:lineRule="auto"/>
            </w:pPr>
            <w:r>
              <w:rPr>
                <w:rFonts w:ascii="Calibri" w:hAnsi="Calibri"/>
                <w:b w:val="0"/>
                <w:i w:val="0"/>
                <w:color w:val="0F172A"/>
                <w:sz w:val="18"/>
              </w:rPr>
              <w:t>Provider</w:t>
            </w:r>
          </w:p>
        </w:tc>
        <w:tc>
          <w:tcPr>
            <w:tcW w:type="dxa" w:w="3650"/>
          </w:tcPr>
          <w:p>
            <w:pPr>
              <w:spacing w:after="0" w:line="264" w:lineRule="auto"/>
            </w:pPr>
            <w:r>
              <w:rPr>
                <w:rFonts w:ascii="Calibri" w:hAnsi="Calibri"/>
                <w:b w:val="0"/>
                <w:i w:val="0"/>
                <w:color w:val="0F172A"/>
                <w:sz w:val="18"/>
              </w:rPr>
              <w:t>Verification, programs, applicant review, stages, schedules, and award information.</w:t>
            </w:r>
          </w:p>
        </w:tc>
        <w:tc>
          <w:tcPr>
            <w:tcW w:type="dxa" w:w="3060"/>
          </w:tcPr>
          <w:p>
            <w:pPr>
              <w:spacing w:after="0" w:line="264" w:lineRule="auto"/>
            </w:pPr>
            <w:r>
              <w:rPr>
                <w:rFonts w:ascii="Calibri" w:hAnsi="Calibri"/>
                <w:b w:val="0"/>
                <w:i w:val="0"/>
                <w:color w:val="0F172A"/>
                <w:sz w:val="18"/>
              </w:rPr>
              <w:t>Structured workflow with provider authority.</w:t>
            </w:r>
          </w:p>
        </w:tc>
      </w:tr>
      <w:tr>
        <w:tc>
          <w:tcPr>
            <w:tcW w:type="dxa" w:w="1050"/>
          </w:tcPr>
          <w:p>
            <w:pPr>
              <w:spacing w:after="0" w:line="264" w:lineRule="auto"/>
            </w:pPr>
            <w:r>
              <w:rPr>
                <w:rFonts w:ascii="Calibri" w:hAnsi="Calibri"/>
                <w:b w:val="0"/>
                <w:i w:val="0"/>
                <w:color w:val="0F172A"/>
                <w:sz w:val="18"/>
              </w:rPr>
              <w:t>22-26 min</w:t>
            </w:r>
          </w:p>
        </w:tc>
        <w:tc>
          <w:tcPr>
            <w:tcW w:type="dxa" w:w="1600"/>
          </w:tcPr>
          <w:p>
            <w:pPr>
              <w:spacing w:after="0" w:line="264" w:lineRule="auto"/>
            </w:pPr>
            <w:r>
              <w:rPr>
                <w:rFonts w:ascii="Calibri" w:hAnsi="Calibri"/>
                <w:b w:val="0"/>
                <w:i w:val="0"/>
                <w:color w:val="0F172A"/>
                <w:sz w:val="18"/>
              </w:rPr>
              <w:t>Administrator</w:t>
            </w:r>
          </w:p>
        </w:tc>
        <w:tc>
          <w:tcPr>
            <w:tcW w:type="dxa" w:w="3650"/>
          </w:tcPr>
          <w:p>
            <w:pPr>
              <w:spacing w:after="0" w:line="264" w:lineRule="auto"/>
            </w:pPr>
            <w:r>
              <w:rPr>
                <w:rFonts w:ascii="Calibri" w:hAnsi="Calibri"/>
                <w:b w:val="0"/>
                <w:i w:val="0"/>
                <w:color w:val="0F172A"/>
                <w:sz w:val="18"/>
              </w:rPr>
              <w:t>Provider/program/applicant review, users, reports, and logs.</w:t>
            </w:r>
          </w:p>
        </w:tc>
        <w:tc>
          <w:tcPr>
            <w:tcW w:type="dxa" w:w="3060"/>
          </w:tcPr>
          <w:p>
            <w:pPr>
              <w:spacing w:after="0" w:line="264" w:lineRule="auto"/>
            </w:pPr>
            <w:r>
              <w:rPr>
                <w:rFonts w:ascii="Calibri" w:hAnsi="Calibri"/>
                <w:b w:val="0"/>
                <w:i w:val="0"/>
                <w:color w:val="0F172A"/>
                <w:sz w:val="18"/>
              </w:rPr>
              <w:t>Trust and governance controls.</w:t>
            </w:r>
          </w:p>
        </w:tc>
      </w:tr>
      <w:tr>
        <w:tc>
          <w:tcPr>
            <w:tcW w:type="dxa" w:w="1050"/>
          </w:tcPr>
          <w:p>
            <w:pPr>
              <w:spacing w:after="0" w:line="264" w:lineRule="auto"/>
            </w:pPr>
            <w:r>
              <w:rPr>
                <w:rFonts w:ascii="Calibri" w:hAnsi="Calibri"/>
                <w:b w:val="0"/>
                <w:i w:val="0"/>
                <w:color w:val="0F172A"/>
                <w:sz w:val="18"/>
              </w:rPr>
              <w:t>26-30 min</w:t>
            </w:r>
          </w:p>
        </w:tc>
        <w:tc>
          <w:tcPr>
            <w:tcW w:type="dxa" w:w="1600"/>
          </w:tcPr>
          <w:p>
            <w:pPr>
              <w:spacing w:after="0" w:line="264" w:lineRule="auto"/>
            </w:pPr>
            <w:r>
              <w:rPr>
                <w:rFonts w:ascii="Calibri" w:hAnsi="Calibri"/>
                <w:b w:val="0"/>
                <w:i w:val="0"/>
                <w:color w:val="0F172A"/>
                <w:sz w:val="18"/>
              </w:rPr>
              <w:t>Defense</w:t>
            </w:r>
          </w:p>
        </w:tc>
        <w:tc>
          <w:tcPr>
            <w:tcW w:type="dxa" w:w="3650"/>
          </w:tcPr>
          <w:p>
            <w:pPr>
              <w:spacing w:after="0" w:line="264" w:lineRule="auto"/>
            </w:pPr>
            <w:r>
              <w:rPr>
                <w:rFonts w:ascii="Calibri" w:hAnsi="Calibri"/>
                <w:b w:val="0"/>
                <w:i w:val="0"/>
                <w:color w:val="0F172A"/>
                <w:sz w:val="18"/>
              </w:rPr>
              <w:t>DSS limits, data rationale, evidence, sustainability, and limitations.</w:t>
            </w:r>
          </w:p>
        </w:tc>
        <w:tc>
          <w:tcPr>
            <w:tcW w:type="dxa" w:w="3060"/>
          </w:tcPr>
          <w:p>
            <w:pPr>
              <w:spacing w:after="0" w:line="264" w:lineRule="auto"/>
            </w:pPr>
            <w:r>
              <w:rPr>
                <w:rFonts w:ascii="Calibri" w:hAnsi="Calibri"/>
                <w:b w:val="0"/>
                <w:i w:val="0"/>
                <w:color w:val="0F172A"/>
                <w:sz w:val="18"/>
              </w:rPr>
              <w:t>Responsible and sustainable design.</w:t>
            </w:r>
          </w:p>
        </w:tc>
      </w:tr>
    </w:tbl>
    <w:p>
      <w:pPr>
        <w:spacing w:after="0"/>
        <w:widowControl w:val="1"/>
      </w:pPr>
    </w:p>
    <w:p>
      <w:pPr>
        <w:pStyle w:val="Heading1"/>
        <w:widowControl w:val="1"/>
      </w:pPr>
      <w:r>
        <w:t>6. Public Pages and Registration</w:t>
      </w:r>
    </w:p>
    <w:p>
      <w:pPr>
        <w:pStyle w:val="Heading2"/>
        <w:widowControl w:val="1"/>
      </w:pPr>
      <w:r>
        <w:t>6.1 Landing page</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Show the carousel, applicant call to action, provider participation message, public navigation, terms/privacy access, and footer.</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The landing page explains the platform before asking for personal information. Applicants and providers have separate registration paths because they have different responsibilities, data, and permissions.</w:t>
      </w:r>
    </w:p>
    <w:p>
      <w:pPr>
        <w:pStyle w:val="Heading2"/>
        <w:widowControl w:val="1"/>
      </w:pPr>
      <w:r>
        <w:t>6.2 Applicant registration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applicant registration. Point out personal/contact fields, account security, terms, and the two-step indicator. Submit only if a demonstration email is available.</w:t>
      </w:r>
    </w:p>
    <w:p>
      <w:pPr>
        <w:keepLines w:val="0"/>
        <w:widowControl w:val="1"/>
      </w:pPr>
      <w:r>
        <w:rPr>
          <w:rFonts w:ascii="Calibri" w:hAnsi="Calibri"/>
          <w:b w:val="0"/>
          <w:i w:val="0"/>
          <w:color w:val="0F172A"/>
          <w:sz w:val="22"/>
        </w:rPr>
        <w:t>Collected at registration: name, middle initial, email, username, contact number, password, role, and terms acceptance.</w:t>
      </w:r>
    </w:p>
    <w:p>
      <w:pPr>
        <w:keepLines w:val="0"/>
        <w:widowControl w:val="1"/>
      </w:pPr>
      <w:r>
        <w:rPr>
          <w:rFonts w:ascii="Calibri" w:hAnsi="Calibri"/>
          <w:b w:val="0"/>
          <w:i w:val="0"/>
          <w:color w:val="0F172A"/>
          <w:sz w:val="22"/>
        </w:rPr>
        <w:t>Why: these fields establish account ownership, login identity, communication, role routing, and a record that the user was shown the applicable terms. The password is stored as a hash rather than readable text.</w:t>
      </w:r>
    </w:p>
    <w:p>
      <w:pPr>
        <w:pStyle w:val="Heading2"/>
        <w:widowControl w:val="1"/>
      </w:pPr>
      <w:r>
        <w:t>6.3 Provider registration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provider registration. Show organization name/type/address, optional website/description, primary contact, account security, and email verification.</w:t>
      </w:r>
    </w:p>
    <w:p>
      <w:pPr>
        <w:keepLines w:val="0"/>
        <w:widowControl w:val="1"/>
      </w:pPr>
      <w:r>
        <w:rPr>
          <w:rFonts w:ascii="Calibri" w:hAnsi="Calibri"/>
          <w:b w:val="0"/>
          <w:i w:val="0"/>
          <w:color w:val="0F172A"/>
          <w:sz w:val="22"/>
        </w:rPr>
        <w:t>Why provider registration is separate: an organization account must identify both the institution and the responsible contact person. This information later supports provider verification and scholarship ownership.</w:t>
      </w:r>
    </w:p>
    <w:p>
      <w:pPr>
        <w:pStyle w:val="Heading2"/>
        <w:widowControl w:val="1"/>
      </w:pPr>
      <w:r>
        <w:t>6.4 Email-code verification before account creation</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The account is created only after the six-digit code is confirmed. This avoids creating a normal account from an unreachable or mistyped email and gives the user a verified communication channel for password recovery and important notices.</w:t>
      </w:r>
    </w:p>
    <w:p>
      <w:pPr>
        <w:pStyle w:val="EvidenceNote"/>
        <w:widowControl w:val="1"/>
      </w:pPr>
      <w:r>
        <w:rPr>
          <w:rFonts w:ascii="Calibri" w:hAnsi="Calibri"/>
          <w:b/>
          <w:i w:val="0"/>
          <w:color w:val="166534"/>
          <w:sz w:val="22"/>
        </w:rPr>
        <w:t xml:space="preserve">Evidence note: </w:t>
      </w:r>
      <w:r>
        <w:rPr>
          <w:rFonts w:ascii="Calibri" w:hAnsi="Calibri"/>
          <w:b w:val="0"/>
          <w:i w:val="0"/>
          <w:color w:val="166534"/>
          <w:sz w:val="22"/>
        </w:rPr>
        <w:t>OWASP recommends explicit email validation and verification policy for identity systems [4]. DOST's published scholarship process also uses a valid email, email verification, and an eligibility module in its online registration flow [5]. This does not mean the platform copies DOST; it shows that email verification and staged eligibility are established practices in a real Philippine scholarship workflow.</w:t>
      </w:r>
    </w:p>
    <w:p>
      <w:pPr>
        <w:pStyle w:val="Heading1"/>
        <w:widowControl w:val="1"/>
      </w:pPr>
      <w:r>
        <w:t>7. Applicant Process</w:t>
      </w:r>
    </w:p>
    <w:p>
      <w:pPr>
        <w:pStyle w:val="Heading2"/>
        <w:widowControl w:val="1"/>
      </w:pPr>
      <w:r>
        <w:t>7.1 Applicant dashboard</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Log in as the applicant. Show the welcome area, recent application progress, readiness summary, recommended scholarships, and reminders.</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The dashboard answers three questions: What should I do next? Am I ready to apply? Which opportunities may fit me? It avoids turning the first page into a complete copy of every applicant feature.</w:t>
      </w:r>
    </w:p>
    <w:p>
      <w:pPr>
        <w:pStyle w:val="Heading2"/>
        <w:widowControl w:val="1"/>
      </w:pPr>
      <w:r>
        <w:t>7.2 Explore before profile completion</w:t>
      </w:r>
    </w:p>
    <w:p>
      <w:pPr>
        <w:keepLines w:val="0"/>
        <w:widowControl w:val="1"/>
      </w:pPr>
      <w:r>
        <w:rPr>
          <w:rFonts w:ascii="Calibri" w:hAnsi="Calibri"/>
          <w:b w:val="0"/>
          <w:i w:val="0"/>
          <w:color w:val="0F172A"/>
          <w:sz w:val="22"/>
        </w:rPr>
        <w:t>A newly registered applicant may browse public scholarships before completing the entire learner profile. Application submission remains blocked until required profile readiness is complete.</w:t>
      </w:r>
    </w:p>
    <w:p>
      <w:pPr>
        <w:pStyle w:val="EvidenceNote"/>
        <w:widowControl w:val="1"/>
      </w:pPr>
      <w:r>
        <w:rPr>
          <w:rFonts w:ascii="Calibri" w:hAnsi="Calibri"/>
          <w:b/>
          <w:i w:val="0"/>
          <w:color w:val="166534"/>
          <w:sz w:val="22"/>
        </w:rPr>
        <w:t xml:space="preserve">Justification: </w:t>
      </w:r>
      <w:r>
        <w:rPr>
          <w:rFonts w:ascii="Calibri" w:hAnsi="Calibri"/>
          <w:b w:val="0"/>
          <w:i w:val="0"/>
          <w:color w:val="166534"/>
          <w:sz w:val="22"/>
        </w:rPr>
        <w:t>Forced onboarding can prevent users from understanding the platform before they trust it with detailed information. Exploration first creates informed participation, while the readiness gate prevents an incomplete record from reaching providers.</w:t>
      </w:r>
    </w:p>
    <w:p>
      <w:pPr>
        <w:pStyle w:val="Heading2"/>
        <w:widowControl w:val="1"/>
      </w:pPr>
      <w:r>
        <w:t>7.3 Adaptive learner profile</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Profile. Show the section navigation and explain that fields adapt to education level and account ownership. Demonstrate learner identity, education, academic record, household/support, location, preferences, guardian details, and verification proof.</w:t>
      </w:r>
    </w:p>
    <w:p>
      <w:pPr>
        <w:keepLines w:val="0"/>
        <w:widowControl w:val="1"/>
      </w:pPr>
      <w:r>
        <w:rPr>
          <w:rFonts w:ascii="Calibri" w:hAnsi="Calibri"/>
          <w:b w:val="0"/>
          <w:i w:val="0"/>
          <w:color w:val="0F172A"/>
          <w:sz w:val="22"/>
        </w:rPr>
        <w:t>The profile is not limited to college students. Elementary, junior high, senior high, technical-vocational, and college applicants may require different education fields. A parent or guardian may manage or support an account for a younger learner.</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We collect profile information because providers do not all target the same applicants. The matching engine needs structured, comparable values such as education level, school type, year level, academic scale, income bracket, and location. We avoid asking every applicant for college-only fields.</w:t>
      </w:r>
    </w:p>
    <w:p>
      <w:pPr>
        <w:pStyle w:val="Heading2"/>
        <w:widowControl w:val="1"/>
      </w:pPr>
      <w:r>
        <w:t>7.4 Profile verification</w:t>
      </w:r>
    </w:p>
    <w:p>
      <w:pPr>
        <w:keepLines w:val="0"/>
        <w:widowControl w:val="1"/>
      </w:pPr>
      <w:r>
        <w:rPr>
          <w:rFonts w:ascii="Calibri" w:hAnsi="Calibri"/>
          <w:b w:val="0"/>
          <w:i w:val="0"/>
          <w:color w:val="0F172A"/>
          <w:sz w:val="22"/>
        </w:rPr>
        <w:t>Applicants may upload proof for administrator verification. If verification evidence is replaced or changed, the status should return to a state requiring review because the basis of the previous verification has changed.</w:t>
      </w:r>
    </w:p>
    <w:p>
      <w:pPr>
        <w:keepLines w:val="0"/>
        <w:widowControl w:val="1"/>
      </w:pPr>
      <w:r>
        <w:rPr>
          <w:rFonts w:ascii="Calibri" w:hAnsi="Calibri"/>
          <w:b w:val="0"/>
          <w:i w:val="0"/>
          <w:color w:val="0F172A"/>
          <w:sz w:val="22"/>
        </w:rPr>
        <w:t>Verification is a trust indicator, not an award decision. Providers still evaluate each application against their own requirements.</w:t>
      </w:r>
    </w:p>
    <w:p>
      <w:pPr>
        <w:pStyle w:val="Heading2"/>
        <w:widowControl w:val="1"/>
      </w:pPr>
      <w:r>
        <w:t>7.5 Prepared documents</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Documents. Show common document types with direct upload buttons, file status, view/replace/delete controls, and privacy terms.</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Applicants can prepare common files before choosing a scholarship. When a program asks for the same document type, the application can attach the prepared file. This reduces repeated uploads but does not remove provider-specific requirements.</w:t>
      </w:r>
    </w:p>
    <w:p>
      <w:pPr>
        <w:keepLines w:val="0"/>
        <w:widowControl w:val="1"/>
      </w:pPr>
      <w:r>
        <w:rPr>
          <w:rFonts w:ascii="Calibri" w:hAnsi="Calibri"/>
          <w:b w:val="0"/>
          <w:i w:val="0"/>
          <w:color w:val="0F172A"/>
          <w:sz w:val="22"/>
        </w:rPr>
        <w:t>Common examples include enrollment certificates, report cards or grades, proof of income, identification, good moral certificates, recommendation letters, birth certificates, and application forms. Only documents actually needed for a profile or selected program should be collected.</w:t>
      </w:r>
    </w:p>
    <w:p>
      <w:pPr>
        <w:pStyle w:val="Heading2"/>
        <w:widowControl w:val="1"/>
      </w:pPr>
      <w:r>
        <w:t>7.6 Scholarship finder</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Scholarships. Demonstrate filters, compact cards, logos, match indicators, distance/location information, quick-view modal, save action, and the full scholarship details page.</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The card shows enough information to compare opportunities without displaying every rule at once. The details page then explains benefits, target applicants, eligibility, documents, selection stages, schedules, location, deadline, and provider contact.</w:t>
      </w:r>
    </w:p>
    <w:p>
      <w:pPr>
        <w:pStyle w:val="Heading2"/>
        <w:widowControl w:val="1"/>
      </w:pPr>
      <w:r>
        <w:t>7.7 Eligibility guidance</w:t>
      </w:r>
    </w:p>
    <w:p>
      <w:pPr>
        <w:keepLines w:val="0"/>
        <w:widowControl w:val="1"/>
      </w:pPr>
      <w:r>
        <w:rPr>
          <w:rFonts w:ascii="Calibri" w:hAnsi="Calibri"/>
          <w:b w:val="0"/>
          <w:i w:val="0"/>
          <w:color w:val="0F172A"/>
          <w:sz w:val="22"/>
        </w:rPr>
        <w:t>The finder compares structured applicant data with provider-defined rules. A program marked as accepting any course, strand, school type, or location should not fail an applicant for that criterion. Missing data is shown separately from a confirmed mismatch.</w:t>
      </w:r>
    </w:p>
    <w:p>
      <w:pPr>
        <w:pStyle w:val="KeyMessage"/>
        <w:widowControl w:val="1"/>
      </w:pPr>
      <w:r>
        <w:rPr>
          <w:rFonts w:ascii="Calibri" w:hAnsi="Calibri"/>
          <w:b/>
          <w:i w:val="0"/>
          <w:color w:val="0F172A"/>
          <w:sz w:val="22"/>
        </w:rPr>
        <w:t xml:space="preserve">Key message: </w:t>
      </w:r>
      <w:r>
        <w:rPr>
          <w:rFonts w:ascii="Calibri" w:hAnsi="Calibri"/>
          <w:b w:val="0"/>
          <w:i w:val="0"/>
          <w:color w:val="0F172A"/>
          <w:sz w:val="22"/>
        </w:rPr>
        <w:t>A high match is guidance, not approval. A low match explains possible gaps, not a permanent judgment about the learner.</w:t>
      </w:r>
    </w:p>
    <w:p>
      <w:pPr>
        <w:pStyle w:val="Heading2"/>
        <w:widowControl w:val="1"/>
      </w:pPr>
      <w:r>
        <w:t>7.8 Start and submit an application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From a scholarship, click Start application. Demonstrate the three steps: Review, Documents, and Submit.</w:t>
      </w:r>
    </w:p>
    <w:p>
      <w:pPr>
        <w:keepLines w:val="0"/>
        <w:widowControl w:val="1"/>
      </w:pPr>
      <w:r>
        <w:rPr>
          <w:rFonts w:ascii="Calibri" w:hAnsi="Calibri"/>
          <w:b/>
          <w:i w:val="0"/>
          <w:color w:val="0F172A"/>
          <w:sz w:val="22"/>
        </w:rPr>
        <w:t>Review:</w:t>
      </w:r>
      <w:r>
        <w:rPr>
          <w:rFonts w:ascii="Calibri" w:hAnsi="Calibri"/>
          <w:b w:val="0"/>
          <w:i w:val="0"/>
          <w:color w:val="0F172A"/>
          <w:sz w:val="22"/>
        </w:rPr>
        <w:t xml:space="preserve"> Confirm the selected program, key requirements, applicant record, and configured selection stages.</w:t>
      </w:r>
    </w:p>
    <w:p>
      <w:pPr>
        <w:keepLines w:val="0"/>
        <w:widowControl w:val="1"/>
      </w:pPr>
      <w:r>
        <w:rPr>
          <w:rFonts w:ascii="Calibri" w:hAnsi="Calibri"/>
          <w:b/>
          <w:i w:val="0"/>
          <w:color w:val="0F172A"/>
          <w:sz w:val="22"/>
        </w:rPr>
        <w:t>Documents:</w:t>
      </w:r>
      <w:r>
        <w:rPr>
          <w:rFonts w:ascii="Calibri" w:hAnsi="Calibri"/>
          <w:b w:val="0"/>
          <w:i w:val="0"/>
          <w:color w:val="0F172A"/>
          <w:sz w:val="22"/>
        </w:rPr>
        <w:t xml:space="preserve"> Upload or attach each required file, accept document-upload terms, and optionally add a note.</w:t>
      </w:r>
    </w:p>
    <w:p>
      <w:pPr>
        <w:keepLines w:val="0"/>
        <w:widowControl w:val="1"/>
      </w:pPr>
      <w:r>
        <w:rPr>
          <w:rFonts w:ascii="Calibri" w:hAnsi="Calibri"/>
          <w:b/>
          <w:i w:val="0"/>
          <w:color w:val="0F172A"/>
          <w:sz w:val="22"/>
        </w:rPr>
        <w:t>Submit:</w:t>
      </w:r>
      <w:r>
        <w:rPr>
          <w:rFonts w:ascii="Calibri" w:hAnsi="Calibri"/>
          <w:b w:val="0"/>
          <w:i w:val="0"/>
          <w:color w:val="0F172A"/>
          <w:sz w:val="22"/>
        </w:rPr>
        <w:t xml:space="preserve"> Review the applicant, attached files, mode, matching guidance, possible commitments, and application terms before final submission.</w:t>
      </w:r>
    </w:p>
    <w:p>
      <w:pPr>
        <w:pStyle w:val="EvidenceNote"/>
        <w:widowControl w:val="1"/>
      </w:pPr>
      <w:r>
        <w:rPr>
          <w:rFonts w:ascii="Calibri" w:hAnsi="Calibri"/>
          <w:b/>
          <w:i w:val="0"/>
          <w:color w:val="166534"/>
          <w:sz w:val="22"/>
        </w:rPr>
        <w:t xml:space="preserve">Justification: </w:t>
      </w:r>
      <w:r>
        <w:rPr>
          <w:rFonts w:ascii="Calibri" w:hAnsi="Calibri"/>
          <w:b w:val="0"/>
          <w:i w:val="0"/>
          <w:color w:val="166534"/>
          <w:sz w:val="22"/>
        </w:rPr>
        <w:t>The wizard separates comprehension, file preparation, and consent. This reduces one-page overload and provides a final review before data is disclosed to the selected provider.</w:t>
      </w:r>
    </w:p>
    <w:p>
      <w:pPr>
        <w:pStyle w:val="Heading2"/>
        <w:widowControl w:val="1"/>
      </w:pPr>
      <w:r>
        <w:t>7.9 Application tracking</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Applications, then one application detail page. Show current status, next action, connected application flow, schedules, documents, decision-support explanation, applicant response where applicable, and history.</w:t>
      </w:r>
    </w:p>
    <w:p>
      <w:pPr>
        <w:keepLines w:val="0"/>
        <w:widowControl w:val="1"/>
      </w:pPr>
      <w:r>
        <w:rPr>
          <w:rFonts w:ascii="Calibri" w:hAnsi="Calibri"/>
          <w:b w:val="0"/>
          <w:i w:val="0"/>
          <w:color w:val="0F172A"/>
          <w:sz w:val="22"/>
        </w:rPr>
        <w:t>Applicants should not manually choose arbitrary workflow statuses. The provider's configured process determines which stages are valid. The page translates technical status keys into understandable labels such as Submitted, Review, Exam, Interview, Approved, Awarded, or Not selected.</w:t>
      </w:r>
    </w:p>
    <w:p>
      <w:pPr>
        <w:pStyle w:val="Heading2"/>
        <w:widowControl w:val="1"/>
      </w:pPr>
      <w:r>
        <w:t>7.10 Exam, interview, and distribution</w:t>
      </w:r>
    </w:p>
    <w:p>
      <w:pPr>
        <w:keepLines w:val="0"/>
        <w:widowControl w:val="1"/>
      </w:pPr>
      <w:r>
        <w:rPr>
          <w:rFonts w:ascii="Calibri" w:hAnsi="Calibri"/>
          <w:b w:val="0"/>
          <w:i w:val="0"/>
          <w:color w:val="0F172A"/>
          <w:sz w:val="22"/>
        </w:rPr>
        <w:t>Exams and interviews are provider-managed outside the portal. The platform announces date, time, mode, address or private instructions when appropriate and records the result needed to advance the applicant.</w:t>
      </w:r>
    </w:p>
    <w:p>
      <w:pPr>
        <w:keepLines w:val="0"/>
        <w:widowControl w:val="1"/>
      </w:pPr>
      <w:r>
        <w:rPr>
          <w:rFonts w:ascii="Calibri" w:hAnsi="Calibri"/>
          <w:b w:val="0"/>
          <w:i w:val="0"/>
          <w:color w:val="0F172A"/>
          <w:sz w:val="22"/>
        </w:rPr>
        <w:t>Distribution represents the delivery of the benefit package, not only cash. The program may include grants, allowances, tuition support, school supplies, devices, training, mentoring, transportation, accommodation, or other benefits.</w:t>
      </w:r>
    </w:p>
    <w:p>
      <w:pPr>
        <w:pStyle w:val="EvidenceNote"/>
        <w:widowControl w:val="1"/>
      </w:pPr>
      <w:r>
        <w:rPr>
          <w:rFonts w:ascii="Calibri" w:hAnsi="Calibri"/>
          <w:b/>
          <w:i w:val="0"/>
          <w:color w:val="166534"/>
          <w:sz w:val="22"/>
        </w:rPr>
        <w:t xml:space="preserve">Evidence note: </w:t>
      </w:r>
      <w:r>
        <w:rPr>
          <w:rFonts w:ascii="Calibri" w:hAnsi="Calibri"/>
          <w:b w:val="0"/>
          <w:i w:val="0"/>
          <w:color w:val="166534"/>
          <w:sz w:val="22"/>
        </w:rPr>
        <w:t>Real scholarship processes vary. DOST publicly uses qualifying examinations for some programs [6], while other providers may rely on documents or interviews. Configurable stages therefore reflect actual variation better than forcing every program into one fixed sequence.</w:t>
      </w:r>
    </w:p>
    <w:p>
      <w:pPr>
        <w:pStyle w:val="Heading2"/>
        <w:widowControl w:val="1"/>
      </w:pPr>
      <w:r>
        <w:t>7.11 Applicant reports and support</w:t>
      </w:r>
    </w:p>
    <w:p>
      <w:pPr>
        <w:keepLines w:val="0"/>
        <w:widowControl w:val="1"/>
      </w:pPr>
      <w:r>
        <w:rPr>
          <w:rFonts w:ascii="Calibri" w:hAnsi="Calibri"/>
          <w:b w:val="0"/>
          <w:i w:val="0"/>
          <w:color w:val="0F172A"/>
          <w:sz w:val="22"/>
        </w:rPr>
        <w:t>A floating Report button lets the applicant submit a program-related, technical, account, privacy, safety, or other concern. Program-related reports can be visible to the relevant provider and administrators; administrative or privacy concerns remain under platform oversight.</w:t>
      </w:r>
    </w:p>
    <w:p>
      <w:pPr>
        <w:pStyle w:val="Heading1"/>
        <w:widowControl w:val="1"/>
      </w:pPr>
      <w:r>
        <w:t>8. Provider Process</w:t>
      </w:r>
    </w:p>
    <w:p>
      <w:pPr>
        <w:pStyle w:val="Heading2"/>
        <w:widowControl w:val="1"/>
      </w:pPr>
      <w:r>
        <w:t>8.1 Provider account and verification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Log in as a provider. Open Profile and show organization details, responsible contact, verification status, and authority-proof upload.</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A verified email proves that the contact can receive messages, but it does not prove that the person is authorized to represent the organization. Provider verification is therefore a separate administrative trust gate.</w:t>
      </w:r>
    </w:p>
    <w:p>
      <w:pPr>
        <w:pStyle w:val="Heading2"/>
        <w:widowControl w:val="1"/>
      </w:pPr>
      <w:r>
        <w:t>8.2 Provider dashboard</w:t>
      </w:r>
    </w:p>
    <w:p>
      <w:pPr>
        <w:keepLines w:val="0"/>
        <w:widowControl w:val="1"/>
      </w:pPr>
      <w:r>
        <w:rPr>
          <w:rFonts w:ascii="Calibri" w:hAnsi="Calibri"/>
          <w:b w:val="0"/>
          <w:i w:val="0"/>
          <w:color w:val="0F172A"/>
          <w:sz w:val="22"/>
        </w:rPr>
        <w:t>The dashboard focuses on actions needing attention: verification, programs awaiting completion or review, applicant queues, schedules, and shortcuts. Detailed lists remain in their own pages so the dashboard does not become overwhelming.</w:t>
      </w:r>
    </w:p>
    <w:p>
      <w:pPr>
        <w:pStyle w:val="Heading2"/>
        <w:widowControl w:val="1"/>
      </w:pPr>
      <w:r>
        <w:t>8.3 Programs workspace</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Programs. Show filters/status tabs, compact program rows, create action, and the Manage control for a saved program.</w:t>
      </w:r>
    </w:p>
    <w:p>
      <w:pPr>
        <w:keepLines w:val="0"/>
        <w:widowControl w:val="1"/>
      </w:pPr>
      <w:r>
        <w:rPr>
          <w:rFonts w:ascii="Calibri" w:hAnsi="Calibri"/>
          <w:b w:val="0"/>
          <w:i w:val="0"/>
          <w:color w:val="0F172A"/>
          <w:sz w:val="22"/>
        </w:rPr>
        <w:t>Programs are separated by lifecycle status such as draft, pending review, published, or rejected. The provider can edit a draft or rejected program, inspect feedback, duplicate an existing program, and manage applicants for a published program.</w:t>
      </w:r>
    </w:p>
    <w:p>
      <w:pPr>
        <w:pStyle w:val="Heading2"/>
        <w:widowControl w:val="1"/>
      </w:pPr>
      <w:r>
        <w:t>8.4 Create or edit a program</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Create program and move through Overview, Offer, Applicants, Process, Location, Documents, Scoring, and Finish. Do not complete every field during a short demonstration; explain the purpose of each section.</w:t>
      </w:r>
    </w:p>
    <w:p>
      <w:pPr>
        <w:keepLines w:val="0"/>
        <w:widowControl w:val="1"/>
      </w:pPr>
      <w:r>
        <w:rPr>
          <w:rFonts w:ascii="Calibri" w:hAnsi="Calibri"/>
          <w:b/>
          <w:i w:val="0"/>
          <w:color w:val="0F172A"/>
          <w:sz w:val="22"/>
        </w:rPr>
        <w:t>Overview:</w:t>
      </w:r>
      <w:r>
        <w:rPr>
          <w:rFonts w:ascii="Calibri" w:hAnsi="Calibri"/>
          <w:b w:val="0"/>
          <w:i w:val="0"/>
          <w:color w:val="0F172A"/>
          <w:sz w:val="22"/>
        </w:rPr>
        <w:t xml:space="preserve"> Title, category, description, provider contact, deadline, and logo establish the public identity and application window.</w:t>
      </w:r>
    </w:p>
    <w:p>
      <w:pPr>
        <w:keepLines w:val="0"/>
        <w:widowControl w:val="1"/>
      </w:pPr>
      <w:r>
        <w:rPr>
          <w:rFonts w:ascii="Calibri" w:hAnsi="Calibri"/>
          <w:b/>
          <w:i w:val="0"/>
          <w:color w:val="0F172A"/>
          <w:sz w:val="22"/>
        </w:rPr>
        <w:t>Offer:</w:t>
      </w:r>
      <w:r>
        <w:rPr>
          <w:rFonts w:ascii="Calibri" w:hAnsi="Calibri"/>
          <w:b w:val="0"/>
          <w:i w:val="0"/>
          <w:color w:val="0F172A"/>
          <w:sz w:val="22"/>
        </w:rPr>
        <w:t xml:space="preserve"> Benefits, frequency, quantity, slots, renewal information, and possible post-acceptance commitments explain what recipients may receive and later fulfill.</w:t>
      </w:r>
    </w:p>
    <w:p>
      <w:pPr>
        <w:keepLines w:val="0"/>
        <w:widowControl w:val="1"/>
      </w:pPr>
      <w:r>
        <w:rPr>
          <w:rFonts w:ascii="Calibri" w:hAnsi="Calibri"/>
          <w:b/>
          <w:i w:val="0"/>
          <w:color w:val="0F172A"/>
          <w:sz w:val="22"/>
        </w:rPr>
        <w:t>Applicants:</w:t>
      </w:r>
      <w:r>
        <w:rPr>
          <w:rFonts w:ascii="Calibri" w:hAnsi="Calibri"/>
          <w:b w:val="0"/>
          <w:i w:val="0"/>
          <w:color w:val="0F172A"/>
          <w:sz w:val="22"/>
        </w:rPr>
        <w:t xml:space="preserve"> Education level, school type, course or strand, year level, location coverage, income, and academic rules define the intended population.</w:t>
      </w:r>
    </w:p>
    <w:p>
      <w:pPr>
        <w:keepLines w:val="0"/>
        <w:widowControl w:val="1"/>
      </w:pPr>
      <w:r>
        <w:rPr>
          <w:rFonts w:ascii="Calibri" w:hAnsi="Calibri"/>
          <w:b/>
          <w:i w:val="0"/>
          <w:color w:val="0F172A"/>
          <w:sz w:val="22"/>
        </w:rPr>
        <w:t>Process:</w:t>
      </w:r>
      <w:r>
        <w:rPr>
          <w:rFonts w:ascii="Calibri" w:hAnsi="Calibri"/>
          <w:b w:val="0"/>
          <w:i w:val="0"/>
          <w:color w:val="0F172A"/>
          <w:sz w:val="22"/>
        </w:rPr>
        <w:t xml:space="preserve"> Provider-managed review, exam, interview, and distribution stages specify the valid application path. Screening is a review activity, not a scheduled event.</w:t>
      </w:r>
    </w:p>
    <w:p>
      <w:pPr>
        <w:keepLines w:val="0"/>
        <w:widowControl w:val="1"/>
      </w:pPr>
      <w:r>
        <w:rPr>
          <w:rFonts w:ascii="Calibri" w:hAnsi="Calibri"/>
          <w:b/>
          <w:i w:val="0"/>
          <w:color w:val="0F172A"/>
          <w:sz w:val="22"/>
        </w:rPr>
        <w:t>Location:</w:t>
      </w:r>
      <w:r>
        <w:rPr>
          <w:rFonts w:ascii="Calibri" w:hAnsi="Calibri"/>
          <w:b w:val="0"/>
          <w:i w:val="0"/>
          <w:color w:val="0F172A"/>
          <w:sz w:val="22"/>
        </w:rPr>
        <w:t xml:space="preserve"> Coverage states who may qualify; event addresses state where an activity occurs. A map pin helps visualize distance but should not silently change eligibility.</w:t>
      </w:r>
    </w:p>
    <w:p>
      <w:pPr>
        <w:keepLines w:val="0"/>
        <w:widowControl w:val="1"/>
      </w:pPr>
      <w:r>
        <w:rPr>
          <w:rFonts w:ascii="Calibri" w:hAnsi="Calibri"/>
          <w:b/>
          <w:i w:val="0"/>
          <w:color w:val="0F172A"/>
          <w:sz w:val="22"/>
        </w:rPr>
        <w:t>Documents:</w:t>
      </w:r>
      <w:r>
        <w:rPr>
          <w:rFonts w:ascii="Calibri" w:hAnsi="Calibri"/>
          <w:b w:val="0"/>
          <w:i w:val="0"/>
          <w:color w:val="0F172A"/>
          <w:sz w:val="22"/>
        </w:rPr>
        <w:t xml:space="preserve"> Required files are selected from consistent document types so applicant uploads can be matched correctly.</w:t>
      </w:r>
    </w:p>
    <w:p>
      <w:pPr>
        <w:keepLines w:val="0"/>
        <w:widowControl w:val="1"/>
      </w:pPr>
      <w:r>
        <w:rPr>
          <w:rFonts w:ascii="Calibri" w:hAnsi="Calibri"/>
          <w:b/>
          <w:i w:val="0"/>
          <w:color w:val="0F172A"/>
          <w:sz w:val="22"/>
        </w:rPr>
        <w:t>Scoring:</w:t>
      </w:r>
      <w:r>
        <w:rPr>
          <w:rFonts w:ascii="Calibri" w:hAnsi="Calibri"/>
          <w:b w:val="0"/>
          <w:i w:val="0"/>
          <w:color w:val="0F172A"/>
          <w:sz w:val="22"/>
        </w:rPr>
        <w:t xml:space="preserve"> The rubric and structured rules support consistent screening and explainable DSS guidance.</w:t>
      </w:r>
    </w:p>
    <w:p>
      <w:pPr>
        <w:keepLines w:val="0"/>
        <w:widowControl w:val="1"/>
      </w:pPr>
      <w:r>
        <w:rPr>
          <w:rFonts w:ascii="Calibri" w:hAnsi="Calibri"/>
          <w:b/>
          <w:i w:val="0"/>
          <w:color w:val="0F172A"/>
          <w:sz w:val="22"/>
        </w:rPr>
        <w:t>Finish:</w:t>
      </w:r>
      <w:r>
        <w:rPr>
          <w:rFonts w:ascii="Calibri" w:hAnsi="Calibri"/>
          <w:b w:val="0"/>
          <w:i w:val="0"/>
          <w:color w:val="0F172A"/>
          <w:sz w:val="22"/>
        </w:rPr>
        <w:t xml:space="preserve"> The provider sees missing publication requirements, accepts provider terms, and submits the program for administrator review.</w:t>
      </w:r>
    </w:p>
    <w:p>
      <w:pPr>
        <w:pStyle w:val="Heading2"/>
        <w:widowControl w:val="1"/>
      </w:pPr>
      <w:r>
        <w:t>8.5 Program review and publication</w:t>
      </w:r>
    </w:p>
    <w:p>
      <w:pPr>
        <w:keepLines w:val="0"/>
        <w:widowControl w:val="1"/>
      </w:pPr>
      <w:r>
        <w:rPr>
          <w:rFonts w:ascii="Calibri" w:hAnsi="Calibri"/>
          <w:b w:val="0"/>
          <w:i w:val="0"/>
          <w:color w:val="0F172A"/>
          <w:sz w:val="22"/>
        </w:rPr>
        <w:t>A provider cannot make a new program public merely by saving it. The provider submits the program, an administrator checks provider verification and program completeness, and only an approved program is published.</w:t>
      </w:r>
    </w:p>
    <w:p>
      <w:pPr>
        <w:pStyle w:val="EvidenceNote"/>
        <w:widowControl w:val="1"/>
      </w:pPr>
      <w:r>
        <w:rPr>
          <w:rFonts w:ascii="Calibri" w:hAnsi="Calibri"/>
          <w:b/>
          <w:i w:val="0"/>
          <w:color w:val="166534"/>
          <w:sz w:val="22"/>
        </w:rPr>
        <w:t xml:space="preserve">Justification: </w:t>
      </w:r>
      <w:r>
        <w:rPr>
          <w:rFonts w:ascii="Calibri" w:hAnsi="Calibri"/>
          <w:b w:val="0"/>
          <w:i w:val="0"/>
          <w:color w:val="166534"/>
          <w:sz w:val="22"/>
        </w:rPr>
        <w:t>This two-gate design addresses two different risks: whether the organization is legitimate and whether a particular public offer is clear, complete, and appropriate. Approving an organization does not make every future program automatically correct.</w:t>
      </w:r>
    </w:p>
    <w:p>
      <w:pPr>
        <w:pStyle w:val="Heading2"/>
        <w:widowControl w:val="1"/>
      </w:pPr>
      <w:r>
        <w:t>8.6 Applications queue and applicant review</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Applications. Use filters and search, then open one applicant. Show Review, Documents, Applicant, Schedule, and History sections.</w:t>
      </w:r>
    </w:p>
    <w:p>
      <w:pPr>
        <w:keepLines w:val="0"/>
        <w:widowControl w:val="1"/>
      </w:pPr>
      <w:r>
        <w:rPr>
          <w:rFonts w:ascii="Calibri" w:hAnsi="Calibri"/>
          <w:b w:val="0"/>
          <w:i w:val="0"/>
          <w:color w:val="0F172A"/>
          <w:sz w:val="22"/>
        </w:rPr>
        <w:t>The provider sees the application decision area early because the page's purpose is review. Supporting profile data, verification proofs, and attached files remain accessible for evidence rather than replacing the decision control.</w:t>
      </w:r>
    </w:p>
    <w:p>
      <w:pPr>
        <w:keepLines w:val="0"/>
        <w:widowControl w:val="1"/>
      </w:pPr>
      <w:r>
        <w:rPr>
          <w:rFonts w:ascii="Calibri" w:hAnsi="Calibri"/>
          <w:b w:val="0"/>
          <w:i w:val="0"/>
          <w:color w:val="0F172A"/>
          <w:sz w:val="22"/>
        </w:rPr>
        <w:t>The provider accepts or rejects documents inside a preview, records reasons when necessary, and approves or rejects the applicant for the current stage. Bulk advancement is limited to applicants who are eligible for the same next stage.</w:t>
      </w:r>
    </w:p>
    <w:p>
      <w:pPr>
        <w:pStyle w:val="Heading2"/>
        <w:widowControl w:val="1"/>
      </w:pPr>
      <w:r>
        <w:t>8.7 Program-level schedules</w:t>
      </w:r>
    </w:p>
    <w:p>
      <w:pPr>
        <w:keepLines w:val="0"/>
        <w:widowControl w:val="1"/>
      </w:pPr>
      <w:r>
        <w:rPr>
          <w:rFonts w:ascii="Calibri" w:hAnsi="Calibri"/>
          <w:b w:val="0"/>
          <w:i w:val="0"/>
          <w:color w:val="0F172A"/>
          <w:sz w:val="22"/>
        </w:rPr>
        <w:t>A provider can publish one exam, interview, or distribution event for a program instead of manually repeating the same date for hundreds of applicants. Only applicants in the correct stage should receive or act on the event.</w:t>
      </w:r>
    </w:p>
    <w:p>
      <w:pPr>
        <w:keepLines w:val="0"/>
        <w:widowControl w:val="1"/>
      </w:pPr>
      <w:r>
        <w:rPr>
          <w:rFonts w:ascii="Calibri" w:hAnsi="Calibri"/>
          <w:b w:val="0"/>
          <w:i w:val="0"/>
          <w:color w:val="0F172A"/>
          <w:sz w:val="22"/>
        </w:rPr>
        <w:t>When a provider adds a later event, applicants who already completed the relevant stage should not be moved backward automatically. Stage progress and event records are related but not interchangeable.</w:t>
      </w:r>
    </w:p>
    <w:p>
      <w:pPr>
        <w:pStyle w:val="Heading2"/>
        <w:widowControl w:val="1"/>
      </w:pPr>
      <w:r>
        <w:t>8.8 Provider team and permissions</w:t>
      </w:r>
    </w:p>
    <w:p>
      <w:pPr>
        <w:keepLines w:val="0"/>
        <w:widowControl w:val="1"/>
      </w:pPr>
      <w:r>
        <w:rPr>
          <w:rFonts w:ascii="Calibri" w:hAnsi="Calibri"/>
          <w:b w:val="0"/>
          <w:i w:val="0"/>
          <w:color w:val="0F172A"/>
          <w:sz w:val="22"/>
        </w:rPr>
        <w:t>A provider may create staff accounts with predefined or custom roles. Permissions are locked to the selected role unless a custom role is chosen. This supports separation of duties among program editors, reviewers, document staff, and managers.</w:t>
      </w:r>
    </w:p>
    <w:p>
      <w:pPr>
        <w:pStyle w:val="Heading2"/>
        <w:widowControl w:val="1"/>
      </w:pPr>
      <w:r>
        <w:t>8.9 Provider services and billing</w:t>
      </w:r>
    </w:p>
    <w:p>
      <w:pPr>
        <w:keepLines w:val="0"/>
        <w:widowControl w:val="1"/>
      </w:pPr>
      <w:r>
        <w:rPr>
          <w:rFonts w:ascii="Calibri" w:hAnsi="Calibri"/>
          <w:b w:val="0"/>
          <w:i w:val="0"/>
          <w:color w:val="0F172A"/>
          <w:sz w:val="22"/>
        </w:rPr>
        <w:t>Optional provider services may be offered through the billing page and PayMongo integration. These services must not determine eligibility, ranking, approval, or basic access to publish legitimate scholarship opportunities. Payment status and fulfillment are separate records.</w:t>
      </w:r>
    </w:p>
    <w:p>
      <w:pPr>
        <w:pStyle w:val="Heading1"/>
        <w:widowControl w:val="1"/>
      </w:pPr>
      <w:r>
        <w:t>9. Administrator Process</w:t>
      </w:r>
    </w:p>
    <w:p>
      <w:pPr>
        <w:pStyle w:val="Heading2"/>
        <w:widowControl w:val="1"/>
      </w:pPr>
      <w:r>
        <w:t>9.1 Administrator dashboard</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Log in as administrator. Show only concise priorities, shortcuts, and items requiring governance attention.</w:t>
      </w:r>
    </w:p>
    <w:p>
      <w:pPr>
        <w:pStyle w:val="Heading2"/>
        <w:widowControl w:val="1"/>
      </w:pPr>
      <w:r>
        <w:t>9.2 Provider verification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Reviews -&gt; Provider verification. Show the row-based queue, filters under the header, provider details page, proof preview, notes, and approve/reject action.</w:t>
      </w:r>
    </w:p>
    <w:p>
      <w:pPr>
        <w:keepLines w:val="0"/>
        <w:widowControl w:val="1"/>
      </w:pPr>
      <w:r>
        <w:rPr>
          <w:rFonts w:ascii="Calibri" w:hAnsi="Calibri"/>
          <w:b w:val="0"/>
          <w:i w:val="0"/>
          <w:color w:val="0F172A"/>
          <w:sz w:val="22"/>
        </w:rPr>
        <w:t>The administrator verifies the organization's identity and authority evidence. Rejection should include a reason so the provider can correct the record.</w:t>
      </w:r>
    </w:p>
    <w:p>
      <w:pPr>
        <w:pStyle w:val="Heading2"/>
        <w:widowControl w:val="1"/>
      </w:pPr>
      <w:r>
        <w:t>9.3 Program review</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the Program review queue. Demonstrate pending, published, and rejected filters, then open a program review page.</w:t>
      </w:r>
    </w:p>
    <w:p>
      <w:pPr>
        <w:keepLines w:val="0"/>
        <w:widowControl w:val="1"/>
      </w:pPr>
      <w:r>
        <w:rPr>
          <w:rFonts w:ascii="Calibri" w:hAnsi="Calibri"/>
          <w:b w:val="0"/>
          <w:i w:val="0"/>
          <w:color w:val="0F172A"/>
          <w:sz w:val="22"/>
        </w:rPr>
        <w:t>The administrator checks public-facing clarity, applicant target, benefits, eligibility, documents, process, contact, deadline, location, and provider status. Approval publishes the program; rejection returns actionable feedback.</w:t>
      </w:r>
    </w:p>
    <w:p>
      <w:pPr>
        <w:pStyle w:val="Heading2"/>
        <w:widowControl w:val="1"/>
      </w:pPr>
      <w:r>
        <w:t>9.4 Applicant verification</w:t>
      </w:r>
    </w:p>
    <w:p>
      <w:pPr>
        <w:pStyle w:val="OnScreen"/>
        <w:widowControl w:val="1"/>
      </w:pPr>
      <w:r>
        <w:rPr>
          <w:rFonts w:ascii="Calibri" w:hAnsi="Calibri"/>
          <w:b/>
          <w:i w:val="0"/>
          <w:color w:val="1F4D78"/>
          <w:sz w:val="22"/>
        </w:rPr>
        <w:t xml:space="preserve">On screen: </w:t>
      </w:r>
      <w:r>
        <w:rPr>
          <w:rFonts w:ascii="Calibri" w:hAnsi="Calibri"/>
          <w:b w:val="0"/>
          <w:i w:val="0"/>
          <w:color w:val="1F4D78"/>
          <w:sz w:val="22"/>
        </w:rPr>
        <w:t>Open Applicant review. Show a compact row, details page, profile summary, verification proof modal, status history, and verify/reject action.</w:t>
      </w:r>
    </w:p>
    <w:p>
      <w:pPr>
        <w:keepLines w:val="0"/>
        <w:widowControl w:val="1"/>
      </w:pPr>
      <w:r>
        <w:rPr>
          <w:rFonts w:ascii="Calibri" w:hAnsi="Calibri"/>
          <w:b w:val="0"/>
          <w:i w:val="0"/>
          <w:color w:val="0F172A"/>
          <w:sz w:val="22"/>
        </w:rPr>
        <w:t>Applicant verification supports trust but does not determine scholarship acceptance. If the proof changes, the system should require a new review of the changed basis.</w:t>
      </w:r>
    </w:p>
    <w:p>
      <w:pPr>
        <w:pStyle w:val="Heading2"/>
        <w:widowControl w:val="1"/>
      </w:pPr>
      <w:r>
        <w:t>9.5 User and staff management</w:t>
      </w:r>
    </w:p>
    <w:p>
      <w:pPr>
        <w:keepLines w:val="0"/>
        <w:widowControl w:val="1"/>
      </w:pPr>
      <w:r>
        <w:rPr>
          <w:rFonts w:ascii="Calibri" w:hAnsi="Calibri"/>
          <w:b w:val="0"/>
          <w:i w:val="0"/>
          <w:color w:val="0F172A"/>
          <w:sz w:val="22"/>
        </w:rPr>
        <w:t>Administrators can create or edit accounts, assign role-based permissions, activate or suspend users, resend verification, and require password reset. An administrator cannot suspend the account currently being used to prevent accidental self-lockout.</w:t>
      </w:r>
    </w:p>
    <w:p>
      <w:pPr>
        <w:pStyle w:val="Heading2"/>
        <w:widowControl w:val="1"/>
      </w:pPr>
      <w:r>
        <w:t>9.6 Reports, logs, exports, and billing oversight</w:t>
      </w:r>
    </w:p>
    <w:p>
      <w:pPr>
        <w:keepLines w:val="0"/>
        <w:widowControl w:val="1"/>
      </w:pPr>
      <w:r>
        <w:rPr>
          <w:rFonts w:ascii="Calibri" w:hAnsi="Calibri"/>
          <w:b w:val="0"/>
          <w:i w:val="0"/>
          <w:color w:val="0F172A"/>
          <w:sz w:val="22"/>
        </w:rPr>
        <w:t>Administrators see cross-platform reports, provider handling state, account actions, and activity logs. Logs provide traceability; exports support authorized operational review. Billing oversight confirms optional service purchases and fulfillment without exposing payment secrets.</w:t>
      </w:r>
    </w:p>
    <w:p>
      <w:pPr>
        <w:pStyle w:val="Heading1"/>
        <w:widowControl w:val="1"/>
      </w:pPr>
      <w:r>
        <w:t>10. Decision Support System</w:t>
      </w:r>
    </w:p>
    <w:p>
      <w:pPr>
        <w:pStyle w:val="Heading2"/>
        <w:widowControl w:val="1"/>
      </w:pPr>
      <w:r>
        <w:t>10.1 What the DSS does</w:t>
      </w:r>
    </w:p>
    <w:p>
      <w:pPr>
        <w:keepLines w:val="0"/>
        <w:widowControl w:val="1"/>
      </w:pPr>
      <w:r>
        <w:rPr>
          <w:rFonts w:ascii="Calibri" w:hAnsi="Calibri"/>
          <w:b w:val="0"/>
          <w:i w:val="0"/>
          <w:color w:val="0F172A"/>
          <w:sz w:val="22"/>
        </w:rPr>
        <w:t>The current DSS is an explainable weighted decision-support method, not a machine-learning model. It compares the applicant and application with provider-defined criteria and stores a snapshot of the result.</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500"/>
        <w:gridCol w:w="1500"/>
        <w:gridCol w:w="5360"/>
      </w:tblGrid>
      <w:tr>
        <w:trPr>
          <w:tblHeader w:val="true"/>
        </w:trPr>
        <w:tc>
          <w:tcPr>
            <w:tcW w:type="dxa" w:w="2500"/>
            <w:vAlign w:val="center"/>
            <w:tcMar>
              <w:top w:w="90" w:type="dxa"/>
              <w:start w:w="120" w:type="dxa"/>
              <w:bottom w:w="90" w:type="dxa"/>
              <w:end w:w="120" w:type="dxa"/>
            </w:tcMar>
            <w:shd w:fill="E8EEF5"/>
          </w:tcPr>
          <w:p>
            <w:pPr>
              <w:spacing w:after="0"/>
            </w:pPr>
            <w:r>
              <w:rPr>
                <w:rFonts w:ascii="Calibri" w:hAnsi="Calibri"/>
                <w:b/>
                <w:i w:val="0"/>
                <w:color w:val="0F172A"/>
                <w:sz w:val="18"/>
              </w:rPr>
              <w:t>Component</w:t>
            </w:r>
          </w:p>
        </w:tc>
        <w:tc>
          <w:tcPr>
            <w:tcW w:type="dxa" w:w="1500"/>
            <w:vAlign w:val="center"/>
            <w:tcMar>
              <w:top w:w="90" w:type="dxa"/>
              <w:start w:w="120" w:type="dxa"/>
              <w:bottom w:w="90" w:type="dxa"/>
              <w:end w:w="120" w:type="dxa"/>
            </w:tcMar>
            <w:shd w:fill="E8EEF5"/>
          </w:tcPr>
          <w:p>
            <w:pPr>
              <w:spacing w:after="0"/>
            </w:pPr>
            <w:r>
              <w:rPr>
                <w:rFonts w:ascii="Calibri" w:hAnsi="Calibri"/>
                <w:b/>
                <w:i w:val="0"/>
                <w:color w:val="0F172A"/>
                <w:sz w:val="18"/>
              </w:rPr>
              <w:t>Current weight</w:t>
            </w:r>
          </w:p>
        </w:tc>
        <w:tc>
          <w:tcPr>
            <w:tcW w:type="dxa" w:w="5360"/>
            <w:vAlign w:val="center"/>
            <w:tcMar>
              <w:top w:w="90" w:type="dxa"/>
              <w:start w:w="120" w:type="dxa"/>
              <w:bottom w:w="90" w:type="dxa"/>
              <w:end w:w="120" w:type="dxa"/>
            </w:tcMar>
            <w:shd w:fill="E8EEF5"/>
          </w:tcPr>
          <w:p>
            <w:pPr>
              <w:spacing w:after="0"/>
            </w:pPr>
            <w:r>
              <w:rPr>
                <w:rFonts w:ascii="Calibri" w:hAnsi="Calibri"/>
                <w:b/>
                <w:i w:val="0"/>
                <w:color w:val="0F172A"/>
                <w:sz w:val="18"/>
              </w:rPr>
              <w:t>Purpose</w:t>
            </w:r>
          </w:p>
        </w:tc>
      </w:tr>
      <w:tr>
        <w:tc>
          <w:tcPr>
            <w:tcW w:type="dxa" w:w="2500"/>
          </w:tcPr>
          <w:p>
            <w:pPr>
              <w:spacing w:after="0" w:line="264" w:lineRule="auto"/>
            </w:pPr>
            <w:r>
              <w:rPr>
                <w:rFonts w:ascii="Calibri" w:hAnsi="Calibri"/>
                <w:b w:val="0"/>
                <w:i w:val="0"/>
                <w:color w:val="0F172A"/>
                <w:sz w:val="18"/>
              </w:rPr>
              <w:t>Eligibility match</w:t>
            </w:r>
          </w:p>
        </w:tc>
        <w:tc>
          <w:tcPr>
            <w:tcW w:type="dxa" w:w="1500"/>
          </w:tcPr>
          <w:p>
            <w:pPr>
              <w:spacing w:after="0" w:line="264" w:lineRule="auto"/>
            </w:pPr>
            <w:r>
              <w:rPr>
                <w:rFonts w:ascii="Calibri" w:hAnsi="Calibri"/>
                <w:b w:val="0"/>
                <w:i w:val="0"/>
                <w:color w:val="0F172A"/>
                <w:sz w:val="18"/>
              </w:rPr>
              <w:t>65%</w:t>
            </w:r>
          </w:p>
        </w:tc>
        <w:tc>
          <w:tcPr>
            <w:tcW w:type="dxa" w:w="5360"/>
          </w:tcPr>
          <w:p>
            <w:pPr>
              <w:spacing w:after="0" w:line="264" w:lineRule="auto"/>
            </w:pPr>
            <w:r>
              <w:rPr>
                <w:rFonts w:ascii="Calibri" w:hAnsi="Calibri"/>
                <w:b w:val="0"/>
                <w:i w:val="0"/>
                <w:color w:val="0F172A"/>
                <w:sz w:val="18"/>
              </w:rPr>
              <w:t>Measures alignment with structured target-applicant criteria.</w:t>
            </w:r>
          </w:p>
        </w:tc>
      </w:tr>
      <w:tr>
        <w:tc>
          <w:tcPr>
            <w:tcW w:type="dxa" w:w="2500"/>
          </w:tcPr>
          <w:p>
            <w:pPr>
              <w:spacing w:after="0" w:line="264" w:lineRule="auto"/>
            </w:pPr>
            <w:r>
              <w:rPr>
                <w:rFonts w:ascii="Calibri" w:hAnsi="Calibri"/>
                <w:b w:val="0"/>
                <w:i w:val="0"/>
                <w:color w:val="0F172A"/>
                <w:sz w:val="18"/>
              </w:rPr>
              <w:t>Academic merit</w:t>
            </w:r>
          </w:p>
        </w:tc>
        <w:tc>
          <w:tcPr>
            <w:tcW w:type="dxa" w:w="1500"/>
          </w:tcPr>
          <w:p>
            <w:pPr>
              <w:spacing w:after="0" w:line="264" w:lineRule="auto"/>
            </w:pPr>
            <w:r>
              <w:rPr>
                <w:rFonts w:ascii="Calibri" w:hAnsi="Calibri"/>
                <w:b w:val="0"/>
                <w:i w:val="0"/>
                <w:color w:val="0F172A"/>
                <w:sz w:val="18"/>
              </w:rPr>
              <w:t>20%</w:t>
            </w:r>
          </w:p>
        </w:tc>
        <w:tc>
          <w:tcPr>
            <w:tcW w:type="dxa" w:w="5360"/>
          </w:tcPr>
          <w:p>
            <w:pPr>
              <w:spacing w:after="0" w:line="264" w:lineRule="auto"/>
            </w:pPr>
            <w:r>
              <w:rPr>
                <w:rFonts w:ascii="Calibri" w:hAnsi="Calibri"/>
                <w:b w:val="0"/>
                <w:i w:val="0"/>
                <w:color w:val="0F172A"/>
                <w:sz w:val="18"/>
              </w:rPr>
              <w:t>Compares the applicant's grade and grading scale with the program requirement.</w:t>
            </w:r>
          </w:p>
        </w:tc>
      </w:tr>
      <w:tr>
        <w:tc>
          <w:tcPr>
            <w:tcW w:type="dxa" w:w="2500"/>
          </w:tcPr>
          <w:p>
            <w:pPr>
              <w:spacing w:after="0" w:line="264" w:lineRule="auto"/>
            </w:pPr>
            <w:r>
              <w:rPr>
                <w:rFonts w:ascii="Calibri" w:hAnsi="Calibri"/>
                <w:b w:val="0"/>
                <w:i w:val="0"/>
                <w:color w:val="0F172A"/>
                <w:sz w:val="18"/>
              </w:rPr>
              <w:t>Financial need</w:t>
            </w:r>
          </w:p>
        </w:tc>
        <w:tc>
          <w:tcPr>
            <w:tcW w:type="dxa" w:w="1500"/>
          </w:tcPr>
          <w:p>
            <w:pPr>
              <w:spacing w:after="0" w:line="264" w:lineRule="auto"/>
            </w:pPr>
            <w:r>
              <w:rPr>
                <w:rFonts w:ascii="Calibri" w:hAnsi="Calibri"/>
                <w:b w:val="0"/>
                <w:i w:val="0"/>
                <w:color w:val="0F172A"/>
                <w:sz w:val="18"/>
              </w:rPr>
              <w:t>15%</w:t>
            </w:r>
          </w:p>
        </w:tc>
        <w:tc>
          <w:tcPr>
            <w:tcW w:type="dxa" w:w="5360"/>
          </w:tcPr>
          <w:p>
            <w:pPr>
              <w:spacing w:after="0" w:line="264" w:lineRule="auto"/>
            </w:pPr>
            <w:r>
              <w:rPr>
                <w:rFonts w:ascii="Calibri" w:hAnsi="Calibri"/>
                <w:b w:val="0"/>
                <w:i w:val="0"/>
                <w:color w:val="0F172A"/>
                <w:sz w:val="18"/>
              </w:rPr>
              <w:t>Represents income-priority fit for assistance-focused programs.</w:t>
            </w:r>
          </w:p>
        </w:tc>
      </w:tr>
    </w:tbl>
    <w:p>
      <w:pPr>
        <w:spacing w:after="0"/>
        <w:widowControl w:val="1"/>
      </w:pPr>
    </w:p>
    <w:p>
      <w:pPr>
        <w:keepLines w:val="0"/>
        <w:widowControl w:val="1"/>
      </w:pPr>
      <w:r>
        <w:rPr>
          <w:rFonts w:ascii="Calibri" w:hAnsi="Calibri"/>
          <w:b w:val="0"/>
          <w:i w:val="0"/>
          <w:color w:val="0F172A"/>
          <w:sz w:val="22"/>
        </w:rPr>
        <w:t>Document readiness and provider review progress are displayed separately. They do not increase applicant suitability merely because a file was uploaded or a provider advanced a status.</w:t>
      </w:r>
    </w:p>
    <w:p>
      <w:pPr>
        <w:pStyle w:val="Heading2"/>
        <w:widowControl w:val="1"/>
      </w:pPr>
      <w:r>
        <w:t>10.2 Why the DSS does not decide</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A mathematical score cannot fully represent authenticity, exceptional circumstances, document quality, provider policy, interview performance, or available funding. The DSS therefore explains fit and possible gaps, while the provider remains accountable for the final decision.</w:t>
      </w:r>
    </w:p>
    <w:p>
      <w:pPr>
        <w:pStyle w:val="EvidenceNote"/>
        <w:widowControl w:val="1"/>
      </w:pPr>
      <w:r>
        <w:rPr>
          <w:rFonts w:ascii="Calibri" w:hAnsi="Calibri"/>
          <w:b/>
          <w:i w:val="0"/>
          <w:color w:val="166534"/>
          <w:sz w:val="22"/>
        </w:rPr>
        <w:t xml:space="preserve">Evidence note: </w:t>
      </w:r>
      <w:r>
        <w:rPr>
          <w:rFonts w:ascii="Calibri" w:hAnsi="Calibri"/>
          <w:b w:val="0"/>
          <w:i w:val="0"/>
          <w:color w:val="166534"/>
          <w:sz w:val="22"/>
        </w:rPr>
        <w:t>NIST states that AI or data-driven systems may be used as an additional opinion and that human roles and oversight responsibilities should be clearly defined, particularly because mathematical representations can remove important social context [7]. The platform applies this principle even though its DSS is rule-based rather than generative AI.</w:t>
      </w:r>
    </w:p>
    <w:p>
      <w:pPr>
        <w:pStyle w:val="Heading2"/>
        <w:widowControl w:val="1"/>
      </w:pPr>
      <w:r>
        <w:t>10.3 DSS safeguards to demonstrate</w:t>
      </w:r>
    </w:p>
    <w:p>
      <w:pPr>
        <w:numPr>
          <w:ilvl w:val="0"/>
          <w:numId w:val="90"/>
        </w:numPr>
        <w:spacing w:after="80" w:line="300" w:lineRule="auto"/>
        <w:widowControl w:val="1"/>
      </w:pPr>
      <w:r>
        <w:rPr>
          <w:rFonts w:ascii="Calibri" w:hAnsi="Calibri"/>
          <w:b w:val="0"/>
          <w:i w:val="0"/>
          <w:color w:val="0F172A"/>
          <w:sz w:val="22"/>
        </w:rPr>
        <w:t>Show the score breakdown and plain-language reasons, not only one percentage.</w:t>
      </w:r>
    </w:p>
    <w:p>
      <w:pPr>
        <w:numPr>
          <w:ilvl w:val="0"/>
          <w:numId w:val="90"/>
        </w:numPr>
        <w:spacing w:after="80" w:line="300" w:lineRule="auto"/>
        <w:widowControl w:val="1"/>
      </w:pPr>
      <w:r>
        <w:rPr>
          <w:rFonts w:ascii="Calibri" w:hAnsi="Calibri"/>
          <w:b w:val="0"/>
          <w:i w:val="0"/>
          <w:color w:val="0F172A"/>
          <w:sz w:val="22"/>
        </w:rPr>
        <w:t>Distinguish pass, fail, missing data, and criteria that accept any value.</w:t>
      </w:r>
    </w:p>
    <w:p>
      <w:pPr>
        <w:numPr>
          <w:ilvl w:val="0"/>
          <w:numId w:val="90"/>
        </w:numPr>
        <w:spacing w:after="80" w:line="300" w:lineRule="auto"/>
        <w:widowControl w:val="1"/>
      </w:pPr>
      <w:r>
        <w:rPr>
          <w:rFonts w:ascii="Calibri" w:hAnsi="Calibri"/>
          <w:b w:val="0"/>
          <w:i w:val="0"/>
          <w:color w:val="0F172A"/>
          <w:sz w:val="22"/>
        </w:rPr>
        <w:t>Support multiple grading scales rather than assuming every school uses percentages.</w:t>
      </w:r>
    </w:p>
    <w:p>
      <w:pPr>
        <w:numPr>
          <w:ilvl w:val="0"/>
          <w:numId w:val="90"/>
        </w:numPr>
        <w:spacing w:after="80" w:line="300" w:lineRule="auto"/>
        <w:widowControl w:val="1"/>
      </w:pPr>
      <w:r>
        <w:rPr>
          <w:rFonts w:ascii="Calibri" w:hAnsi="Calibri"/>
          <w:b w:val="0"/>
          <w:i w:val="0"/>
          <w:color w:val="0F172A"/>
          <w:sz w:val="22"/>
        </w:rPr>
        <w:t>Store methodology version and snapshots so later rule changes do not silently rewrite historical context.</w:t>
      </w:r>
    </w:p>
    <w:p>
      <w:pPr>
        <w:numPr>
          <w:ilvl w:val="0"/>
          <w:numId w:val="90"/>
        </w:numPr>
        <w:spacing w:after="80" w:line="300" w:lineRule="auto"/>
        <w:widowControl w:val="1"/>
      </w:pPr>
      <w:r>
        <w:rPr>
          <w:rFonts w:ascii="Calibri" w:hAnsi="Calibri"/>
          <w:b w:val="0"/>
          <w:i w:val="0"/>
          <w:color w:val="0F172A"/>
          <w:sz w:val="22"/>
        </w:rPr>
        <w:t>Keep provider decisions and decision reasons separate from calculated guidance.</w:t>
      </w:r>
    </w:p>
    <w:p>
      <w:pPr>
        <w:numPr>
          <w:ilvl w:val="0"/>
          <w:numId w:val="90"/>
        </w:numPr>
        <w:spacing w:after="80" w:line="300" w:lineRule="auto"/>
        <w:widowControl w:val="1"/>
      </w:pPr>
      <w:r>
        <w:rPr>
          <w:rFonts w:ascii="Calibri" w:hAnsi="Calibri"/>
          <w:b w:val="0"/>
          <w:i w:val="0"/>
          <w:color w:val="0F172A"/>
          <w:sz w:val="22"/>
        </w:rPr>
        <w:t>Test for false mismatches such as STEM versus BS Information Technology naming variations.</w:t>
      </w:r>
    </w:p>
    <w:p>
      <w:pPr>
        <w:pStyle w:val="Heading1"/>
        <w:widowControl w:val="1"/>
      </w:pPr>
      <w:r>
        <w:t>11. Data Collected and Why</w:t>
      </w:r>
    </w:p>
    <w:p>
      <w:pPr>
        <w:pStyle w:val="Heading2"/>
        <w:widowControl w:val="1"/>
      </w:pPr>
      <w:r>
        <w:t>11.1 Governing collection principle</w:t>
      </w:r>
    </w:p>
    <w:p>
      <w:pPr>
        <w:keepLines w:val="0"/>
        <w:widowControl w:val="1"/>
      </w:pPr>
      <w:r>
        <w:rPr>
          <w:rFonts w:ascii="Calibri" w:hAnsi="Calibri"/>
          <w:b w:val="0"/>
          <w:i w:val="0"/>
          <w:color w:val="0F172A"/>
          <w:sz w:val="22"/>
        </w:rPr>
        <w:t>The system should collect only data that has a declared and legitimate purpose and is adequate, relevant, necessary, and not excessive. The Philippine Data Privacy Act and its implementing rules emphasize transparency, legitimate purpose, proportionality, accuracy, security, and limited retention [3][11].</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We do not justify a field by saying the database can store it. We justify it by identifying the process it supports, who can access it, and whether a less intrusive alternative can achieve the same purpose.</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600"/>
        <w:gridCol w:w="2300"/>
        <w:gridCol w:w="3100"/>
        <w:gridCol w:w="2360"/>
      </w:tblGrid>
      <w:tr>
        <w:trPr>
          <w:tblHeader w:val="true"/>
        </w:trPr>
        <w:tc>
          <w:tcPr>
            <w:tcW w:type="dxa" w:w="1600"/>
            <w:vAlign w:val="center"/>
            <w:tcMar>
              <w:top w:w="90" w:type="dxa"/>
              <w:start w:w="120" w:type="dxa"/>
              <w:bottom w:w="90" w:type="dxa"/>
              <w:end w:w="120" w:type="dxa"/>
            </w:tcMar>
            <w:shd w:fill="E8EEF5"/>
          </w:tcPr>
          <w:p>
            <w:pPr>
              <w:spacing w:after="0"/>
            </w:pPr>
            <w:r>
              <w:rPr>
                <w:rFonts w:ascii="Calibri" w:hAnsi="Calibri"/>
                <w:b/>
                <w:i w:val="0"/>
                <w:color w:val="0F172A"/>
                <w:sz w:val="16"/>
              </w:rPr>
              <w:t>Data group</w:t>
            </w:r>
          </w:p>
        </w:tc>
        <w:tc>
          <w:tcPr>
            <w:tcW w:type="dxa" w:w="2300"/>
            <w:vAlign w:val="center"/>
            <w:tcMar>
              <w:top w:w="90" w:type="dxa"/>
              <w:start w:w="120" w:type="dxa"/>
              <w:bottom w:w="90" w:type="dxa"/>
              <w:end w:w="120" w:type="dxa"/>
            </w:tcMar>
            <w:shd w:fill="E8EEF5"/>
          </w:tcPr>
          <w:p>
            <w:pPr>
              <w:spacing w:after="0"/>
            </w:pPr>
            <w:r>
              <w:rPr>
                <w:rFonts w:ascii="Calibri" w:hAnsi="Calibri"/>
                <w:b/>
                <w:i w:val="0"/>
                <w:color w:val="0F172A"/>
                <w:sz w:val="16"/>
              </w:rPr>
              <w:t>Examples</w:t>
            </w:r>
          </w:p>
        </w:tc>
        <w:tc>
          <w:tcPr>
            <w:tcW w:type="dxa" w:w="3100"/>
            <w:vAlign w:val="center"/>
            <w:tcMar>
              <w:top w:w="90" w:type="dxa"/>
              <w:start w:w="120" w:type="dxa"/>
              <w:bottom w:w="90" w:type="dxa"/>
              <w:end w:w="120" w:type="dxa"/>
            </w:tcMar>
            <w:shd w:fill="E8EEF5"/>
          </w:tcPr>
          <w:p>
            <w:pPr>
              <w:spacing w:after="0"/>
            </w:pPr>
            <w:r>
              <w:rPr>
                <w:rFonts w:ascii="Calibri" w:hAnsi="Calibri"/>
                <w:b/>
                <w:i w:val="0"/>
                <w:color w:val="0F172A"/>
                <w:sz w:val="16"/>
              </w:rPr>
              <w:t>Why collected</w:t>
            </w:r>
          </w:p>
        </w:tc>
        <w:tc>
          <w:tcPr>
            <w:tcW w:type="dxa" w:w="2360"/>
            <w:vAlign w:val="center"/>
            <w:tcMar>
              <w:top w:w="90" w:type="dxa"/>
              <w:start w:w="120" w:type="dxa"/>
              <w:bottom w:w="90" w:type="dxa"/>
              <w:end w:w="120" w:type="dxa"/>
            </w:tcMar>
            <w:shd w:fill="E8EEF5"/>
          </w:tcPr>
          <w:p>
            <w:pPr>
              <w:spacing w:after="0"/>
            </w:pPr>
            <w:r>
              <w:rPr>
                <w:rFonts w:ascii="Calibri" w:hAnsi="Calibri"/>
                <w:b/>
                <w:i w:val="0"/>
                <w:color w:val="0F172A"/>
                <w:sz w:val="16"/>
              </w:rPr>
              <w:t>Access boundary</w:t>
            </w:r>
          </w:p>
        </w:tc>
      </w:tr>
      <w:tr>
        <w:tc>
          <w:tcPr>
            <w:tcW w:type="dxa" w:w="1600"/>
          </w:tcPr>
          <w:p>
            <w:pPr>
              <w:spacing w:after="0" w:line="264" w:lineRule="auto"/>
            </w:pPr>
            <w:r>
              <w:rPr>
                <w:rFonts w:ascii="Calibri" w:hAnsi="Calibri"/>
                <w:b w:val="0"/>
                <w:i w:val="0"/>
                <w:color w:val="0F172A"/>
                <w:sz w:val="16"/>
              </w:rPr>
              <w:t>Account identity</w:t>
            </w:r>
          </w:p>
        </w:tc>
        <w:tc>
          <w:tcPr>
            <w:tcW w:type="dxa" w:w="2300"/>
          </w:tcPr>
          <w:p>
            <w:pPr>
              <w:spacing w:after="0" w:line="264" w:lineRule="auto"/>
            </w:pPr>
            <w:r>
              <w:rPr>
                <w:rFonts w:ascii="Calibri" w:hAnsi="Calibri"/>
                <w:b w:val="0"/>
                <w:i w:val="0"/>
                <w:color w:val="0F172A"/>
                <w:sz w:val="16"/>
              </w:rPr>
              <w:t>Email, username, password hash, role, account status</w:t>
            </w:r>
          </w:p>
        </w:tc>
        <w:tc>
          <w:tcPr>
            <w:tcW w:type="dxa" w:w="3100"/>
          </w:tcPr>
          <w:p>
            <w:pPr>
              <w:spacing w:after="0" w:line="264" w:lineRule="auto"/>
            </w:pPr>
            <w:r>
              <w:rPr>
                <w:rFonts w:ascii="Calibri" w:hAnsi="Calibri"/>
                <w:b w:val="0"/>
                <w:i w:val="0"/>
                <w:color w:val="0F172A"/>
                <w:sz w:val="16"/>
              </w:rPr>
              <w:t>Login, email verification, recovery, role routing, and account governance.</w:t>
            </w:r>
          </w:p>
        </w:tc>
        <w:tc>
          <w:tcPr>
            <w:tcW w:type="dxa" w:w="2360"/>
          </w:tcPr>
          <w:p>
            <w:pPr>
              <w:spacing w:after="0" w:line="264" w:lineRule="auto"/>
            </w:pPr>
            <w:r>
              <w:rPr>
                <w:rFonts w:ascii="Calibri" w:hAnsi="Calibri"/>
                <w:b w:val="0"/>
                <w:i w:val="0"/>
                <w:color w:val="0F172A"/>
                <w:sz w:val="16"/>
              </w:rPr>
              <w:t>Account owner; authorized admin for account management.</w:t>
            </w:r>
          </w:p>
        </w:tc>
      </w:tr>
      <w:tr>
        <w:tc>
          <w:tcPr>
            <w:tcW w:type="dxa" w:w="1600"/>
          </w:tcPr>
          <w:p>
            <w:pPr>
              <w:spacing w:after="0" w:line="264" w:lineRule="auto"/>
            </w:pPr>
            <w:r>
              <w:rPr>
                <w:rFonts w:ascii="Calibri" w:hAnsi="Calibri"/>
                <w:b w:val="0"/>
                <w:i w:val="0"/>
                <w:color w:val="0F172A"/>
                <w:sz w:val="16"/>
              </w:rPr>
              <w:t>Basic identity/contact</w:t>
            </w:r>
          </w:p>
        </w:tc>
        <w:tc>
          <w:tcPr>
            <w:tcW w:type="dxa" w:w="2300"/>
          </w:tcPr>
          <w:p>
            <w:pPr>
              <w:spacing w:after="0" w:line="264" w:lineRule="auto"/>
            </w:pPr>
            <w:r>
              <w:rPr>
                <w:rFonts w:ascii="Calibri" w:hAnsi="Calibri"/>
                <w:b w:val="0"/>
                <w:i w:val="0"/>
                <w:color w:val="0F172A"/>
                <w:sz w:val="16"/>
              </w:rPr>
              <w:t>Name, middle initial, suffix, contact number</w:t>
            </w:r>
          </w:p>
        </w:tc>
        <w:tc>
          <w:tcPr>
            <w:tcW w:type="dxa" w:w="3100"/>
          </w:tcPr>
          <w:p>
            <w:pPr>
              <w:spacing w:after="0" w:line="264" w:lineRule="auto"/>
            </w:pPr>
            <w:r>
              <w:rPr>
                <w:rFonts w:ascii="Calibri" w:hAnsi="Calibri"/>
                <w:b w:val="0"/>
                <w:i w:val="0"/>
                <w:color w:val="0F172A"/>
                <w:sz w:val="16"/>
              </w:rPr>
              <w:t>Identify the applicant or provider contact and support official communication.</w:t>
            </w:r>
          </w:p>
        </w:tc>
        <w:tc>
          <w:tcPr>
            <w:tcW w:type="dxa" w:w="2360"/>
          </w:tcPr>
          <w:p>
            <w:pPr>
              <w:spacing w:after="0" w:line="264" w:lineRule="auto"/>
            </w:pPr>
            <w:r>
              <w:rPr>
                <w:rFonts w:ascii="Calibri" w:hAnsi="Calibri"/>
                <w:b w:val="0"/>
                <w:i w:val="0"/>
                <w:color w:val="0F172A"/>
                <w:sz w:val="16"/>
              </w:rPr>
              <w:t>Owner; selected provider after application; authorized admin.</w:t>
            </w:r>
          </w:p>
        </w:tc>
      </w:tr>
      <w:tr>
        <w:tc>
          <w:tcPr>
            <w:tcW w:type="dxa" w:w="1600"/>
          </w:tcPr>
          <w:p>
            <w:pPr>
              <w:spacing w:after="0" w:line="264" w:lineRule="auto"/>
            </w:pPr>
            <w:r>
              <w:rPr>
                <w:rFonts w:ascii="Calibri" w:hAnsi="Calibri"/>
                <w:b w:val="0"/>
                <w:i w:val="0"/>
                <w:color w:val="0F172A"/>
                <w:sz w:val="16"/>
              </w:rPr>
              <w:t>Guardian context</w:t>
            </w:r>
          </w:p>
        </w:tc>
        <w:tc>
          <w:tcPr>
            <w:tcW w:type="dxa" w:w="2300"/>
          </w:tcPr>
          <w:p>
            <w:pPr>
              <w:spacing w:after="0" w:line="264" w:lineRule="auto"/>
            </w:pPr>
            <w:r>
              <w:rPr>
                <w:rFonts w:ascii="Calibri" w:hAnsi="Calibri"/>
                <w:b w:val="0"/>
                <w:i w:val="0"/>
                <w:color w:val="0F172A"/>
                <w:sz w:val="16"/>
              </w:rPr>
              <w:t>Account manager, guardian name/relationship/contact/email</w:t>
            </w:r>
          </w:p>
        </w:tc>
        <w:tc>
          <w:tcPr>
            <w:tcW w:type="dxa" w:w="3100"/>
          </w:tcPr>
          <w:p>
            <w:pPr>
              <w:spacing w:after="0" w:line="264" w:lineRule="auto"/>
            </w:pPr>
            <w:r>
              <w:rPr>
                <w:rFonts w:ascii="Calibri" w:hAnsi="Calibri"/>
                <w:b w:val="0"/>
                <w:i w:val="0"/>
                <w:color w:val="0F172A"/>
                <w:sz w:val="16"/>
              </w:rPr>
              <w:t>Support younger applicants and identify the responsible adult when appropriate.</w:t>
            </w:r>
          </w:p>
        </w:tc>
        <w:tc>
          <w:tcPr>
            <w:tcW w:type="dxa" w:w="2360"/>
          </w:tcPr>
          <w:p>
            <w:pPr>
              <w:spacing w:after="0" w:line="264" w:lineRule="auto"/>
            </w:pPr>
            <w:r>
              <w:rPr>
                <w:rFonts w:ascii="Calibri" w:hAnsi="Calibri"/>
                <w:b w:val="0"/>
                <w:i w:val="0"/>
                <w:color w:val="0F172A"/>
                <w:sz w:val="16"/>
              </w:rPr>
              <w:t>Applicant/guardian; authorized reviewers when relevant.</w:t>
            </w:r>
          </w:p>
        </w:tc>
      </w:tr>
      <w:tr>
        <w:tc>
          <w:tcPr>
            <w:tcW w:type="dxa" w:w="1600"/>
          </w:tcPr>
          <w:p>
            <w:pPr>
              <w:spacing w:after="0" w:line="264" w:lineRule="auto"/>
            </w:pPr>
            <w:r>
              <w:rPr>
                <w:rFonts w:ascii="Calibri" w:hAnsi="Calibri"/>
                <w:b w:val="0"/>
                <w:i w:val="0"/>
                <w:color w:val="0F172A"/>
                <w:sz w:val="16"/>
              </w:rPr>
              <w:t>Education</w:t>
            </w:r>
          </w:p>
        </w:tc>
        <w:tc>
          <w:tcPr>
            <w:tcW w:type="dxa" w:w="2300"/>
          </w:tcPr>
          <w:p>
            <w:pPr>
              <w:spacing w:after="0" w:line="264" w:lineRule="auto"/>
            </w:pPr>
            <w:r>
              <w:rPr>
                <w:rFonts w:ascii="Calibri" w:hAnsi="Calibri"/>
                <w:b w:val="0"/>
                <w:i w:val="0"/>
                <w:color w:val="0F172A"/>
                <w:sz w:val="16"/>
              </w:rPr>
              <w:t>Education level, school, school type, LRN, course/strand, year level, enrollment</w:t>
            </w:r>
          </w:p>
        </w:tc>
        <w:tc>
          <w:tcPr>
            <w:tcW w:type="dxa" w:w="3100"/>
          </w:tcPr>
          <w:p>
            <w:pPr>
              <w:spacing w:after="0" w:line="264" w:lineRule="auto"/>
            </w:pPr>
            <w:r>
              <w:rPr>
                <w:rFonts w:ascii="Calibri" w:hAnsi="Calibri"/>
                <w:b w:val="0"/>
                <w:i w:val="0"/>
                <w:color w:val="0F172A"/>
                <w:sz w:val="16"/>
              </w:rPr>
              <w:t>Match grade-level and school eligibility; avoid college-only assumptions.</w:t>
            </w:r>
          </w:p>
        </w:tc>
        <w:tc>
          <w:tcPr>
            <w:tcW w:type="dxa" w:w="2360"/>
          </w:tcPr>
          <w:p>
            <w:pPr>
              <w:spacing w:after="0" w:line="264" w:lineRule="auto"/>
            </w:pPr>
            <w:r>
              <w:rPr>
                <w:rFonts w:ascii="Calibri" w:hAnsi="Calibri"/>
                <w:b w:val="0"/>
                <w:i w:val="0"/>
                <w:color w:val="0F172A"/>
                <w:sz w:val="16"/>
              </w:rPr>
              <w:t>Applicant; selected provider; authorized admin.</w:t>
            </w:r>
          </w:p>
        </w:tc>
      </w:tr>
      <w:tr>
        <w:tc>
          <w:tcPr>
            <w:tcW w:type="dxa" w:w="1600"/>
          </w:tcPr>
          <w:p>
            <w:pPr>
              <w:spacing w:after="0" w:line="264" w:lineRule="auto"/>
            </w:pPr>
            <w:r>
              <w:rPr>
                <w:rFonts w:ascii="Calibri" w:hAnsi="Calibri"/>
                <w:b w:val="0"/>
                <w:i w:val="0"/>
                <w:color w:val="0F172A"/>
                <w:sz w:val="16"/>
              </w:rPr>
              <w:t>Academic</w:t>
            </w:r>
          </w:p>
        </w:tc>
        <w:tc>
          <w:tcPr>
            <w:tcW w:type="dxa" w:w="2300"/>
          </w:tcPr>
          <w:p>
            <w:pPr>
              <w:spacing w:after="0" w:line="264" w:lineRule="auto"/>
            </w:pPr>
            <w:r>
              <w:rPr>
                <w:rFonts w:ascii="Calibri" w:hAnsi="Calibri"/>
                <w:b w:val="0"/>
                <w:i w:val="0"/>
                <w:color w:val="0F172A"/>
                <w:sz w:val="16"/>
              </w:rPr>
              <w:t>Grade/GWA, grading scale, academic proof</w:t>
            </w:r>
          </w:p>
        </w:tc>
        <w:tc>
          <w:tcPr>
            <w:tcW w:type="dxa" w:w="3100"/>
          </w:tcPr>
          <w:p>
            <w:pPr>
              <w:spacing w:after="0" w:line="264" w:lineRule="auto"/>
            </w:pPr>
            <w:r>
              <w:rPr>
                <w:rFonts w:ascii="Calibri" w:hAnsi="Calibri"/>
                <w:b w:val="0"/>
                <w:i w:val="0"/>
                <w:color w:val="0F172A"/>
                <w:sz w:val="16"/>
              </w:rPr>
              <w:t>Compare academic rules across different grading systems and verify claims.</w:t>
            </w:r>
          </w:p>
        </w:tc>
        <w:tc>
          <w:tcPr>
            <w:tcW w:type="dxa" w:w="2360"/>
          </w:tcPr>
          <w:p>
            <w:pPr>
              <w:spacing w:after="0" w:line="264" w:lineRule="auto"/>
            </w:pPr>
            <w:r>
              <w:rPr>
                <w:rFonts w:ascii="Calibri" w:hAnsi="Calibri"/>
                <w:b w:val="0"/>
                <w:i w:val="0"/>
                <w:color w:val="0F172A"/>
                <w:sz w:val="16"/>
              </w:rPr>
              <w:t>Applicant; selected provider; authorized admin.</w:t>
            </w:r>
          </w:p>
        </w:tc>
      </w:tr>
      <w:tr>
        <w:tc>
          <w:tcPr>
            <w:tcW w:type="dxa" w:w="1600"/>
          </w:tcPr>
          <w:p>
            <w:pPr>
              <w:spacing w:after="0" w:line="264" w:lineRule="auto"/>
            </w:pPr>
            <w:r>
              <w:rPr>
                <w:rFonts w:ascii="Calibri" w:hAnsi="Calibri"/>
                <w:b w:val="0"/>
                <w:i w:val="0"/>
                <w:color w:val="0F172A"/>
                <w:sz w:val="16"/>
              </w:rPr>
              <w:t>Household/support</w:t>
            </w:r>
          </w:p>
        </w:tc>
        <w:tc>
          <w:tcPr>
            <w:tcW w:type="dxa" w:w="2300"/>
          </w:tcPr>
          <w:p>
            <w:pPr>
              <w:spacing w:after="0" w:line="264" w:lineRule="auto"/>
            </w:pPr>
            <w:r>
              <w:rPr>
                <w:rFonts w:ascii="Calibri" w:hAnsi="Calibri"/>
                <w:b w:val="0"/>
                <w:i w:val="0"/>
                <w:color w:val="0F172A"/>
                <w:sz w:val="16"/>
              </w:rPr>
              <w:t>Income bracket, household size, support needs</w:t>
            </w:r>
          </w:p>
        </w:tc>
        <w:tc>
          <w:tcPr>
            <w:tcW w:type="dxa" w:w="3100"/>
          </w:tcPr>
          <w:p>
            <w:pPr>
              <w:spacing w:after="0" w:line="264" w:lineRule="auto"/>
            </w:pPr>
            <w:r>
              <w:rPr>
                <w:rFonts w:ascii="Calibri" w:hAnsi="Calibri"/>
                <w:b w:val="0"/>
                <w:i w:val="0"/>
                <w:color w:val="0F172A"/>
                <w:sz w:val="16"/>
              </w:rPr>
              <w:t>Evaluate need-based eligibility and assistance priorities where the provider requires them.</w:t>
            </w:r>
          </w:p>
        </w:tc>
        <w:tc>
          <w:tcPr>
            <w:tcW w:type="dxa" w:w="2360"/>
          </w:tcPr>
          <w:p>
            <w:pPr>
              <w:spacing w:after="0" w:line="264" w:lineRule="auto"/>
            </w:pPr>
            <w:r>
              <w:rPr>
                <w:rFonts w:ascii="Calibri" w:hAnsi="Calibri"/>
                <w:b w:val="0"/>
                <w:i w:val="0"/>
                <w:color w:val="0F172A"/>
                <w:sz w:val="16"/>
              </w:rPr>
              <w:t>Applicant; selected provider; authorized admin.</w:t>
            </w:r>
          </w:p>
        </w:tc>
      </w:tr>
      <w:tr>
        <w:tc>
          <w:tcPr>
            <w:tcW w:type="dxa" w:w="1600"/>
          </w:tcPr>
          <w:p>
            <w:pPr>
              <w:spacing w:after="0" w:line="264" w:lineRule="auto"/>
            </w:pPr>
            <w:r>
              <w:rPr>
                <w:rFonts w:ascii="Calibri" w:hAnsi="Calibri"/>
                <w:b w:val="0"/>
                <w:i w:val="0"/>
                <w:color w:val="0F172A"/>
                <w:sz w:val="16"/>
              </w:rPr>
              <w:t>Location</w:t>
            </w:r>
          </w:p>
        </w:tc>
        <w:tc>
          <w:tcPr>
            <w:tcW w:type="dxa" w:w="2300"/>
          </w:tcPr>
          <w:p>
            <w:pPr>
              <w:spacing w:after="0" w:line="264" w:lineRule="auto"/>
            </w:pPr>
            <w:r>
              <w:rPr>
                <w:rFonts w:ascii="Calibri" w:hAnsi="Calibri"/>
                <w:b w:val="0"/>
                <w:i w:val="0"/>
                <w:color w:val="0F172A"/>
                <w:sz w:val="16"/>
              </w:rPr>
              <w:t>Address components, region, coordinates, relocation preference</w:t>
            </w:r>
          </w:p>
        </w:tc>
        <w:tc>
          <w:tcPr>
            <w:tcW w:type="dxa" w:w="3100"/>
          </w:tcPr>
          <w:p>
            <w:pPr>
              <w:spacing w:after="0" w:line="264" w:lineRule="auto"/>
            </w:pPr>
            <w:r>
              <w:rPr>
                <w:rFonts w:ascii="Calibri" w:hAnsi="Calibri"/>
                <w:b w:val="0"/>
                <w:i w:val="0"/>
                <w:color w:val="0F172A"/>
                <w:sz w:val="16"/>
              </w:rPr>
              <w:t>Check geographic coverage, calculate approximate distance, and display maps.</w:t>
            </w:r>
          </w:p>
        </w:tc>
        <w:tc>
          <w:tcPr>
            <w:tcW w:type="dxa" w:w="2360"/>
          </w:tcPr>
          <w:p>
            <w:pPr>
              <w:spacing w:after="0" w:line="264" w:lineRule="auto"/>
            </w:pPr>
            <w:r>
              <w:rPr>
                <w:rFonts w:ascii="Calibri" w:hAnsi="Calibri"/>
                <w:b w:val="0"/>
                <w:i w:val="0"/>
                <w:color w:val="0F172A"/>
                <w:sz w:val="16"/>
              </w:rPr>
              <w:t>Applicant; selected provider after application; authorized admin.</w:t>
            </w:r>
          </w:p>
        </w:tc>
      </w:tr>
      <w:tr>
        <w:tc>
          <w:tcPr>
            <w:tcW w:type="dxa" w:w="1600"/>
          </w:tcPr>
          <w:p>
            <w:pPr>
              <w:spacing w:after="0" w:line="264" w:lineRule="auto"/>
            </w:pPr>
            <w:r>
              <w:rPr>
                <w:rFonts w:ascii="Calibri" w:hAnsi="Calibri"/>
                <w:b w:val="0"/>
                <w:i w:val="0"/>
                <w:color w:val="0F172A"/>
                <w:sz w:val="16"/>
              </w:rPr>
              <w:t>Preferences/goals</w:t>
            </w:r>
          </w:p>
        </w:tc>
        <w:tc>
          <w:tcPr>
            <w:tcW w:type="dxa" w:w="2300"/>
          </w:tcPr>
          <w:p>
            <w:pPr>
              <w:spacing w:after="0" w:line="264" w:lineRule="auto"/>
            </w:pPr>
            <w:r>
              <w:rPr>
                <w:rFonts w:ascii="Calibri" w:hAnsi="Calibri"/>
                <w:b w:val="0"/>
                <w:i w:val="0"/>
                <w:color w:val="0F172A"/>
                <w:sz w:val="16"/>
              </w:rPr>
              <w:t>Categories, preferred locations, scholarship goal</w:t>
            </w:r>
          </w:p>
        </w:tc>
        <w:tc>
          <w:tcPr>
            <w:tcW w:type="dxa" w:w="3100"/>
          </w:tcPr>
          <w:p>
            <w:pPr>
              <w:spacing w:after="0" w:line="264" w:lineRule="auto"/>
            </w:pPr>
            <w:r>
              <w:rPr>
                <w:rFonts w:ascii="Calibri" w:hAnsi="Calibri"/>
                <w:b w:val="0"/>
                <w:i w:val="0"/>
                <w:color w:val="0F172A"/>
                <w:sz w:val="16"/>
              </w:rPr>
              <w:t>Improve recommendations and applicant-facing discovery.</w:t>
            </w:r>
          </w:p>
        </w:tc>
        <w:tc>
          <w:tcPr>
            <w:tcW w:type="dxa" w:w="2360"/>
          </w:tcPr>
          <w:p>
            <w:pPr>
              <w:spacing w:after="0" w:line="264" w:lineRule="auto"/>
            </w:pPr>
            <w:r>
              <w:rPr>
                <w:rFonts w:ascii="Calibri" w:hAnsi="Calibri"/>
                <w:b w:val="0"/>
                <w:i w:val="0"/>
                <w:color w:val="0F172A"/>
                <w:sz w:val="16"/>
              </w:rPr>
              <w:t>Applicant; system matching; provider only when relevant to application.</w:t>
            </w:r>
          </w:p>
        </w:tc>
      </w:tr>
      <w:tr>
        <w:tc>
          <w:tcPr>
            <w:tcW w:type="dxa" w:w="1600"/>
          </w:tcPr>
          <w:p>
            <w:pPr>
              <w:spacing w:after="0" w:line="264" w:lineRule="auto"/>
            </w:pPr>
            <w:r>
              <w:rPr>
                <w:rFonts w:ascii="Calibri" w:hAnsi="Calibri"/>
                <w:b w:val="0"/>
                <w:i w:val="0"/>
                <w:color w:val="0F172A"/>
                <w:sz w:val="16"/>
              </w:rPr>
              <w:t>Prepared files</w:t>
            </w:r>
          </w:p>
        </w:tc>
        <w:tc>
          <w:tcPr>
            <w:tcW w:type="dxa" w:w="2300"/>
          </w:tcPr>
          <w:p>
            <w:pPr>
              <w:spacing w:after="0" w:line="264" w:lineRule="auto"/>
            </w:pPr>
            <w:r>
              <w:rPr>
                <w:rFonts w:ascii="Calibri" w:hAnsi="Calibri"/>
                <w:b w:val="0"/>
                <w:i w:val="0"/>
                <w:color w:val="0F172A"/>
                <w:sz w:val="16"/>
              </w:rPr>
              <w:t>Document type, file metadata, storage path, terms acceptance</w:t>
            </w:r>
          </w:p>
        </w:tc>
        <w:tc>
          <w:tcPr>
            <w:tcW w:type="dxa" w:w="3100"/>
          </w:tcPr>
          <w:p>
            <w:pPr>
              <w:spacing w:after="0" w:line="264" w:lineRule="auto"/>
            </w:pPr>
            <w:r>
              <w:rPr>
                <w:rFonts w:ascii="Calibri" w:hAnsi="Calibri"/>
                <w:b w:val="0"/>
                <w:i w:val="0"/>
                <w:color w:val="0F172A"/>
                <w:sz w:val="16"/>
              </w:rPr>
              <w:t>Reuse common files and preserve upload accountability.</w:t>
            </w:r>
          </w:p>
        </w:tc>
        <w:tc>
          <w:tcPr>
            <w:tcW w:type="dxa" w:w="2360"/>
          </w:tcPr>
          <w:p>
            <w:pPr>
              <w:spacing w:after="0" w:line="264" w:lineRule="auto"/>
            </w:pPr>
            <w:r>
              <w:rPr>
                <w:rFonts w:ascii="Calibri" w:hAnsi="Calibri"/>
                <w:b w:val="0"/>
                <w:i w:val="0"/>
                <w:color w:val="0F172A"/>
                <w:sz w:val="16"/>
              </w:rPr>
              <w:t>Applicant; selected provider only when attached; authorized admin.</w:t>
            </w:r>
          </w:p>
        </w:tc>
      </w:tr>
      <w:tr>
        <w:tc>
          <w:tcPr>
            <w:tcW w:type="dxa" w:w="1600"/>
          </w:tcPr>
          <w:p>
            <w:pPr>
              <w:spacing w:after="0" w:line="264" w:lineRule="auto"/>
            </w:pPr>
            <w:r>
              <w:rPr>
                <w:rFonts w:ascii="Calibri" w:hAnsi="Calibri"/>
                <w:b w:val="0"/>
                <w:i w:val="0"/>
                <w:color w:val="0F172A"/>
                <w:sz w:val="16"/>
              </w:rPr>
              <w:t>Verification proof</w:t>
            </w:r>
          </w:p>
        </w:tc>
        <w:tc>
          <w:tcPr>
            <w:tcW w:type="dxa" w:w="2300"/>
          </w:tcPr>
          <w:p>
            <w:pPr>
              <w:spacing w:after="0" w:line="264" w:lineRule="auto"/>
            </w:pPr>
            <w:r>
              <w:rPr>
                <w:rFonts w:ascii="Calibri" w:hAnsi="Calibri"/>
                <w:b w:val="0"/>
                <w:i w:val="0"/>
                <w:color w:val="0F172A"/>
                <w:sz w:val="16"/>
              </w:rPr>
              <w:t>Proof file, status, notes, verifier, timestamps</w:t>
            </w:r>
          </w:p>
        </w:tc>
        <w:tc>
          <w:tcPr>
            <w:tcW w:type="dxa" w:w="3100"/>
          </w:tcPr>
          <w:p>
            <w:pPr>
              <w:spacing w:after="0" w:line="264" w:lineRule="auto"/>
            </w:pPr>
            <w:r>
              <w:rPr>
                <w:rFonts w:ascii="Calibri" w:hAnsi="Calibri"/>
                <w:b w:val="0"/>
                <w:i w:val="0"/>
                <w:color w:val="0F172A"/>
                <w:sz w:val="16"/>
              </w:rPr>
              <w:t>Support applicant or provider trust decisions and re-review after changes.</w:t>
            </w:r>
          </w:p>
        </w:tc>
        <w:tc>
          <w:tcPr>
            <w:tcW w:type="dxa" w:w="2360"/>
          </w:tcPr>
          <w:p>
            <w:pPr>
              <w:spacing w:after="0" w:line="264" w:lineRule="auto"/>
            </w:pPr>
            <w:r>
              <w:rPr>
                <w:rFonts w:ascii="Calibri" w:hAnsi="Calibri"/>
                <w:b w:val="0"/>
                <w:i w:val="0"/>
                <w:color w:val="0F172A"/>
                <w:sz w:val="16"/>
              </w:rPr>
              <w:t>Owner; authorized administrator; provider only where policy permits.</w:t>
            </w:r>
          </w:p>
        </w:tc>
      </w:tr>
      <w:tr>
        <w:tc>
          <w:tcPr>
            <w:tcW w:type="dxa" w:w="1600"/>
          </w:tcPr>
          <w:p>
            <w:pPr>
              <w:spacing w:after="0" w:line="264" w:lineRule="auto"/>
            </w:pPr>
            <w:r>
              <w:rPr>
                <w:rFonts w:ascii="Calibri" w:hAnsi="Calibri"/>
                <w:b w:val="0"/>
                <w:i w:val="0"/>
                <w:color w:val="0F172A"/>
                <w:sz w:val="16"/>
              </w:rPr>
              <w:t>Provider organization</w:t>
            </w:r>
          </w:p>
        </w:tc>
        <w:tc>
          <w:tcPr>
            <w:tcW w:type="dxa" w:w="2300"/>
          </w:tcPr>
          <w:p>
            <w:pPr>
              <w:spacing w:after="0" w:line="264" w:lineRule="auto"/>
            </w:pPr>
            <w:r>
              <w:rPr>
                <w:rFonts w:ascii="Calibri" w:hAnsi="Calibri"/>
                <w:b w:val="0"/>
                <w:i w:val="0"/>
                <w:color w:val="0F172A"/>
                <w:sz w:val="16"/>
              </w:rPr>
              <w:t>Name, type, website, address, description, authority proof</w:t>
            </w:r>
          </w:p>
        </w:tc>
        <w:tc>
          <w:tcPr>
            <w:tcW w:type="dxa" w:w="3100"/>
          </w:tcPr>
          <w:p>
            <w:pPr>
              <w:spacing w:after="0" w:line="264" w:lineRule="auto"/>
            </w:pPr>
            <w:r>
              <w:rPr>
                <w:rFonts w:ascii="Calibri" w:hAnsi="Calibri"/>
                <w:b w:val="0"/>
                <w:i w:val="0"/>
                <w:color w:val="0F172A"/>
                <w:sz w:val="16"/>
              </w:rPr>
              <w:t>Identify scholarship ownership and establish legitimacy.</w:t>
            </w:r>
          </w:p>
        </w:tc>
        <w:tc>
          <w:tcPr>
            <w:tcW w:type="dxa" w:w="2360"/>
          </w:tcPr>
          <w:p>
            <w:pPr>
              <w:spacing w:after="0" w:line="264" w:lineRule="auto"/>
            </w:pPr>
            <w:r>
              <w:rPr>
                <w:rFonts w:ascii="Calibri" w:hAnsi="Calibri"/>
                <w:b w:val="0"/>
                <w:i w:val="0"/>
                <w:color w:val="0F172A"/>
                <w:sz w:val="16"/>
              </w:rPr>
              <w:t>Provider; authorized admin; approved public summary.</w:t>
            </w:r>
          </w:p>
        </w:tc>
      </w:tr>
      <w:tr>
        <w:tc>
          <w:tcPr>
            <w:tcW w:type="dxa" w:w="1600"/>
          </w:tcPr>
          <w:p>
            <w:pPr>
              <w:spacing w:after="0" w:line="264" w:lineRule="auto"/>
            </w:pPr>
            <w:r>
              <w:rPr>
                <w:rFonts w:ascii="Calibri" w:hAnsi="Calibri"/>
                <w:b w:val="0"/>
                <w:i w:val="0"/>
                <w:color w:val="0F172A"/>
                <w:sz w:val="16"/>
              </w:rPr>
              <w:t>Scholarship program</w:t>
            </w:r>
          </w:p>
        </w:tc>
        <w:tc>
          <w:tcPr>
            <w:tcW w:type="dxa" w:w="2300"/>
          </w:tcPr>
          <w:p>
            <w:pPr>
              <w:spacing w:after="0" w:line="264" w:lineRule="auto"/>
            </w:pPr>
            <w:r>
              <w:rPr>
                <w:rFonts w:ascii="Calibri" w:hAnsi="Calibri"/>
                <w:b w:val="0"/>
                <w:i w:val="0"/>
                <w:color w:val="0F172A"/>
                <w:sz w:val="16"/>
              </w:rPr>
              <w:t>Description, benefits, criteria, documents, stages, dates, contacts, location</w:t>
            </w:r>
          </w:p>
        </w:tc>
        <w:tc>
          <w:tcPr>
            <w:tcW w:type="dxa" w:w="3100"/>
          </w:tcPr>
          <w:p>
            <w:pPr>
              <w:spacing w:after="0" w:line="264" w:lineRule="auto"/>
            </w:pPr>
            <w:r>
              <w:rPr>
                <w:rFonts w:ascii="Calibri" w:hAnsi="Calibri"/>
                <w:b w:val="0"/>
                <w:i w:val="0"/>
                <w:color w:val="0F172A"/>
                <w:sz w:val="16"/>
              </w:rPr>
              <w:t>Publish complete opportunities and drive matching/application rules.</w:t>
            </w:r>
          </w:p>
        </w:tc>
        <w:tc>
          <w:tcPr>
            <w:tcW w:type="dxa" w:w="2360"/>
          </w:tcPr>
          <w:p>
            <w:pPr>
              <w:spacing w:after="0" w:line="264" w:lineRule="auto"/>
            </w:pPr>
            <w:r>
              <w:rPr>
                <w:rFonts w:ascii="Calibri" w:hAnsi="Calibri"/>
                <w:b w:val="0"/>
                <w:i w:val="0"/>
                <w:color w:val="0F172A"/>
                <w:sz w:val="16"/>
              </w:rPr>
              <w:t>Public after approval; provider; admin.</w:t>
            </w:r>
          </w:p>
        </w:tc>
      </w:tr>
      <w:tr>
        <w:tc>
          <w:tcPr>
            <w:tcW w:type="dxa" w:w="1600"/>
          </w:tcPr>
          <w:p>
            <w:pPr>
              <w:spacing w:after="0" w:line="264" w:lineRule="auto"/>
            </w:pPr>
            <w:r>
              <w:rPr>
                <w:rFonts w:ascii="Calibri" w:hAnsi="Calibri"/>
                <w:b w:val="0"/>
                <w:i w:val="0"/>
                <w:color w:val="0F172A"/>
                <w:sz w:val="16"/>
              </w:rPr>
              <w:t>Application</w:t>
            </w:r>
          </w:p>
        </w:tc>
        <w:tc>
          <w:tcPr>
            <w:tcW w:type="dxa" w:w="2300"/>
          </w:tcPr>
          <w:p>
            <w:pPr>
              <w:spacing w:after="0" w:line="264" w:lineRule="auto"/>
            </w:pPr>
            <w:r>
              <w:rPr>
                <w:rFonts w:ascii="Calibri" w:hAnsi="Calibri"/>
                <w:b w:val="0"/>
                <w:i w:val="0"/>
                <w:color w:val="0F172A"/>
                <w:sz w:val="16"/>
              </w:rPr>
              <w:t>Selected program, files, note, eligibility/DSS snapshot, status, history</w:t>
            </w:r>
          </w:p>
        </w:tc>
        <w:tc>
          <w:tcPr>
            <w:tcW w:type="dxa" w:w="3100"/>
          </w:tcPr>
          <w:p>
            <w:pPr>
              <w:spacing w:after="0" w:line="264" w:lineRule="auto"/>
            </w:pPr>
            <w:r>
              <w:rPr>
                <w:rFonts w:ascii="Calibri" w:hAnsi="Calibri"/>
                <w:b w:val="0"/>
                <w:i w:val="0"/>
                <w:color w:val="0F172A"/>
                <w:sz w:val="16"/>
              </w:rPr>
              <w:t>Create a reviewable record and show how a decision progressed.</w:t>
            </w:r>
          </w:p>
        </w:tc>
        <w:tc>
          <w:tcPr>
            <w:tcW w:type="dxa" w:w="2360"/>
          </w:tcPr>
          <w:p>
            <w:pPr>
              <w:spacing w:after="0" w:line="264" w:lineRule="auto"/>
            </w:pPr>
            <w:r>
              <w:rPr>
                <w:rFonts w:ascii="Calibri" w:hAnsi="Calibri"/>
                <w:b w:val="0"/>
                <w:i w:val="0"/>
                <w:color w:val="0F172A"/>
                <w:sz w:val="16"/>
              </w:rPr>
              <w:t>Applicant; owning provider; authorized admin.</w:t>
            </w:r>
          </w:p>
        </w:tc>
      </w:tr>
      <w:tr>
        <w:tc>
          <w:tcPr>
            <w:tcW w:type="dxa" w:w="1600"/>
          </w:tcPr>
          <w:p>
            <w:pPr>
              <w:spacing w:after="0" w:line="264" w:lineRule="auto"/>
            </w:pPr>
            <w:r>
              <w:rPr>
                <w:rFonts w:ascii="Calibri" w:hAnsi="Calibri"/>
                <w:b w:val="0"/>
                <w:i w:val="0"/>
                <w:color w:val="0F172A"/>
                <w:sz w:val="16"/>
              </w:rPr>
              <w:t>Schedules/outcomes</w:t>
            </w:r>
          </w:p>
        </w:tc>
        <w:tc>
          <w:tcPr>
            <w:tcW w:type="dxa" w:w="2300"/>
          </w:tcPr>
          <w:p>
            <w:pPr>
              <w:spacing w:after="0" w:line="264" w:lineRule="auto"/>
            </w:pPr>
            <w:r>
              <w:rPr>
                <w:rFonts w:ascii="Calibri" w:hAnsi="Calibri"/>
                <w:b w:val="0"/>
                <w:i w:val="0"/>
                <w:color w:val="0F172A"/>
                <w:sz w:val="16"/>
              </w:rPr>
              <w:t>Event type, date, mode, address/link, attendance/result, benefit delivery</w:t>
            </w:r>
          </w:p>
        </w:tc>
        <w:tc>
          <w:tcPr>
            <w:tcW w:type="dxa" w:w="3100"/>
          </w:tcPr>
          <w:p>
            <w:pPr>
              <w:spacing w:after="0" w:line="264" w:lineRule="auto"/>
            </w:pPr>
            <w:r>
              <w:rPr>
                <w:rFonts w:ascii="Calibri" w:hAnsi="Calibri"/>
                <w:b w:val="0"/>
                <w:i w:val="0"/>
                <w:color w:val="0F172A"/>
                <w:sz w:val="16"/>
              </w:rPr>
              <w:t>Communicate next activities and preserve progression/outcome records.</w:t>
            </w:r>
          </w:p>
        </w:tc>
        <w:tc>
          <w:tcPr>
            <w:tcW w:type="dxa" w:w="2360"/>
          </w:tcPr>
          <w:p>
            <w:pPr>
              <w:spacing w:after="0" w:line="264" w:lineRule="auto"/>
            </w:pPr>
            <w:r>
              <w:rPr>
                <w:rFonts w:ascii="Calibri" w:hAnsi="Calibri"/>
                <w:b w:val="0"/>
                <w:i w:val="0"/>
                <w:color w:val="0F172A"/>
                <w:sz w:val="16"/>
              </w:rPr>
              <w:t>Relevant applicants; owning provider; authorized admin.</w:t>
            </w:r>
          </w:p>
        </w:tc>
      </w:tr>
      <w:tr>
        <w:tc>
          <w:tcPr>
            <w:tcW w:type="dxa" w:w="1600"/>
          </w:tcPr>
          <w:p>
            <w:pPr>
              <w:spacing w:after="0" w:line="264" w:lineRule="auto"/>
            </w:pPr>
            <w:r>
              <w:rPr>
                <w:rFonts w:ascii="Calibri" w:hAnsi="Calibri"/>
                <w:b w:val="0"/>
                <w:i w:val="0"/>
                <w:color w:val="0F172A"/>
                <w:sz w:val="16"/>
              </w:rPr>
              <w:t>Notifications/reports/logs</w:t>
            </w:r>
          </w:p>
        </w:tc>
        <w:tc>
          <w:tcPr>
            <w:tcW w:type="dxa" w:w="2300"/>
          </w:tcPr>
          <w:p>
            <w:pPr>
              <w:spacing w:after="0" w:line="264" w:lineRule="auto"/>
            </w:pPr>
            <w:r>
              <w:rPr>
                <w:rFonts w:ascii="Calibri" w:hAnsi="Calibri"/>
                <w:b w:val="0"/>
                <w:i w:val="0"/>
                <w:color w:val="0F172A"/>
                <w:sz w:val="16"/>
              </w:rPr>
              <w:t>Message, recipient, read state, issue category, actions, timestamps</w:t>
            </w:r>
          </w:p>
        </w:tc>
        <w:tc>
          <w:tcPr>
            <w:tcW w:type="dxa" w:w="3100"/>
          </w:tcPr>
          <w:p>
            <w:pPr>
              <w:spacing w:after="0" w:line="264" w:lineRule="auto"/>
            </w:pPr>
            <w:r>
              <w:rPr>
                <w:rFonts w:ascii="Calibri" w:hAnsi="Calibri"/>
                <w:b w:val="0"/>
                <w:i w:val="0"/>
                <w:color w:val="0F172A"/>
                <w:sz w:val="16"/>
              </w:rPr>
              <w:t>Communication, support, security investigation, and accountability.</w:t>
            </w:r>
          </w:p>
        </w:tc>
        <w:tc>
          <w:tcPr>
            <w:tcW w:type="dxa" w:w="2360"/>
          </w:tcPr>
          <w:p>
            <w:pPr>
              <w:spacing w:after="0" w:line="264" w:lineRule="auto"/>
            </w:pPr>
            <w:r>
              <w:rPr>
                <w:rFonts w:ascii="Calibri" w:hAnsi="Calibri"/>
                <w:b w:val="0"/>
                <w:i w:val="0"/>
                <w:color w:val="0F172A"/>
                <w:sz w:val="16"/>
              </w:rPr>
              <w:t>Intended recipient and authorized staff according to purpose.</w:t>
            </w:r>
          </w:p>
        </w:tc>
      </w:tr>
      <w:tr>
        <w:tc>
          <w:tcPr>
            <w:tcW w:type="dxa" w:w="1600"/>
          </w:tcPr>
          <w:p>
            <w:pPr>
              <w:spacing w:after="0" w:line="264" w:lineRule="auto"/>
            </w:pPr>
            <w:r>
              <w:rPr>
                <w:rFonts w:ascii="Calibri" w:hAnsi="Calibri"/>
                <w:b w:val="0"/>
                <w:i w:val="0"/>
                <w:color w:val="0F172A"/>
                <w:sz w:val="16"/>
              </w:rPr>
              <w:t>Optional service payment</w:t>
            </w:r>
          </w:p>
        </w:tc>
        <w:tc>
          <w:tcPr>
            <w:tcW w:type="dxa" w:w="2300"/>
          </w:tcPr>
          <w:p>
            <w:pPr>
              <w:spacing w:after="0" w:line="264" w:lineRule="auto"/>
            </w:pPr>
            <w:r>
              <w:rPr>
                <w:rFonts w:ascii="Calibri" w:hAnsi="Calibri"/>
                <w:b w:val="0"/>
                <w:i w:val="0"/>
                <w:color w:val="0F172A"/>
                <w:sz w:val="16"/>
              </w:rPr>
              <w:t>Checkout reference, amount, status, fulfillment</w:t>
            </w:r>
          </w:p>
        </w:tc>
        <w:tc>
          <w:tcPr>
            <w:tcW w:type="dxa" w:w="3100"/>
          </w:tcPr>
          <w:p>
            <w:pPr>
              <w:spacing w:after="0" w:line="264" w:lineRule="auto"/>
            </w:pPr>
            <w:r>
              <w:rPr>
                <w:rFonts w:ascii="Calibri" w:hAnsi="Calibri"/>
                <w:b w:val="0"/>
                <w:i w:val="0"/>
                <w:color w:val="0F172A"/>
                <w:sz w:val="16"/>
              </w:rPr>
              <w:t>Confirm provider-purchased optional services without storing card credentials.</w:t>
            </w:r>
          </w:p>
        </w:tc>
        <w:tc>
          <w:tcPr>
            <w:tcW w:type="dxa" w:w="2360"/>
          </w:tcPr>
          <w:p>
            <w:pPr>
              <w:spacing w:after="0" w:line="264" w:lineRule="auto"/>
            </w:pPr>
            <w:r>
              <w:rPr>
                <w:rFonts w:ascii="Calibri" w:hAnsi="Calibri"/>
                <w:b w:val="0"/>
                <w:i w:val="0"/>
                <w:color w:val="0F172A"/>
                <w:sz w:val="16"/>
              </w:rPr>
              <w:t>PayMongo processes payment data; authorized provider/admin sees platform record.</w:t>
            </w:r>
          </w:p>
        </w:tc>
      </w:tr>
    </w:tbl>
    <w:p>
      <w:pPr>
        <w:spacing w:after="0"/>
        <w:widowControl w:val="1"/>
      </w:pPr>
    </w:p>
    <w:p>
      <w:pPr>
        <w:pStyle w:val="Heading2"/>
        <w:widowControl w:val="1"/>
      </w:pPr>
      <w:r>
        <w:t>11.2 Data that should not be collected by default</w:t>
      </w:r>
    </w:p>
    <w:p>
      <w:pPr>
        <w:numPr>
          <w:ilvl w:val="0"/>
          <w:numId w:val="90"/>
        </w:numPr>
        <w:spacing w:after="80" w:line="300" w:lineRule="auto"/>
        <w:widowControl w:val="1"/>
      </w:pPr>
      <w:r>
        <w:rPr>
          <w:rFonts w:ascii="Calibri" w:hAnsi="Calibri"/>
          <w:b w:val="0"/>
          <w:i w:val="0"/>
          <w:color w:val="0F172A"/>
          <w:sz w:val="22"/>
        </w:rPr>
        <w:t>Passwords in readable form, complete payment card details, or provider payment secret keys.</w:t>
      </w:r>
    </w:p>
    <w:p>
      <w:pPr>
        <w:numPr>
          <w:ilvl w:val="0"/>
          <w:numId w:val="90"/>
        </w:numPr>
        <w:spacing w:after="80" w:line="300" w:lineRule="auto"/>
        <w:widowControl w:val="1"/>
      </w:pPr>
      <w:r>
        <w:rPr>
          <w:rFonts w:ascii="Calibri" w:hAnsi="Calibri"/>
          <w:b w:val="0"/>
          <w:i w:val="0"/>
          <w:color w:val="0F172A"/>
          <w:sz w:val="22"/>
        </w:rPr>
        <w:t>Unrelated medical, political, religious, biometric, or family information without a documented requirement and lawful basis.</w:t>
      </w:r>
    </w:p>
    <w:p>
      <w:pPr>
        <w:numPr>
          <w:ilvl w:val="0"/>
          <w:numId w:val="90"/>
        </w:numPr>
        <w:spacing w:after="80" w:line="300" w:lineRule="auto"/>
        <w:widowControl w:val="1"/>
      </w:pPr>
      <w:r>
        <w:rPr>
          <w:rFonts w:ascii="Calibri" w:hAnsi="Calibri"/>
          <w:b w:val="0"/>
          <w:i w:val="0"/>
          <w:color w:val="0F172A"/>
          <w:sz w:val="22"/>
        </w:rPr>
        <w:t>Exact location when broad regional eligibility is sufficient.</w:t>
      </w:r>
    </w:p>
    <w:p>
      <w:pPr>
        <w:numPr>
          <w:ilvl w:val="0"/>
          <w:numId w:val="90"/>
        </w:numPr>
        <w:spacing w:after="80" w:line="300" w:lineRule="auto"/>
        <w:widowControl w:val="1"/>
      </w:pPr>
      <w:r>
        <w:rPr>
          <w:rFonts w:ascii="Calibri" w:hAnsi="Calibri"/>
          <w:b w:val="0"/>
          <w:i w:val="0"/>
          <w:color w:val="0F172A"/>
          <w:sz w:val="22"/>
        </w:rPr>
        <w:t>A document merely because another scholarship once requested it.</w:t>
      </w:r>
    </w:p>
    <w:p>
      <w:pPr>
        <w:numPr>
          <w:ilvl w:val="0"/>
          <w:numId w:val="90"/>
        </w:numPr>
        <w:spacing w:after="80" w:line="300" w:lineRule="auto"/>
        <w:widowControl w:val="1"/>
      </w:pPr>
      <w:r>
        <w:rPr>
          <w:rFonts w:ascii="Calibri" w:hAnsi="Calibri"/>
          <w:b w:val="0"/>
          <w:i w:val="0"/>
          <w:color w:val="0F172A"/>
          <w:sz w:val="22"/>
        </w:rPr>
        <w:t>Research copies of personal records without authorization, ethics review, anonymization, and safeguards.</w:t>
      </w:r>
    </w:p>
    <w:p>
      <w:pPr>
        <w:pStyle w:val="Heading1"/>
        <w:widowControl w:val="1"/>
      </w:pPr>
      <w:r>
        <w:t>12. Process Design Justification</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500"/>
        <w:gridCol w:w="3420"/>
        <w:gridCol w:w="3440"/>
      </w:tblGrid>
      <w:tr>
        <w:trPr>
          <w:tblHeader w:val="true"/>
        </w:trPr>
        <w:tc>
          <w:tcPr>
            <w:tcW w:type="dxa" w:w="2500"/>
            <w:vAlign w:val="center"/>
            <w:tcMar>
              <w:top w:w="90" w:type="dxa"/>
              <w:start w:w="120" w:type="dxa"/>
              <w:bottom w:w="90" w:type="dxa"/>
              <w:end w:w="120" w:type="dxa"/>
            </w:tcMar>
            <w:shd w:fill="E8EEF5"/>
          </w:tcPr>
          <w:p>
            <w:pPr>
              <w:spacing w:after="0"/>
            </w:pPr>
            <w:r>
              <w:rPr>
                <w:rFonts w:ascii="Calibri" w:hAnsi="Calibri"/>
                <w:b/>
                <w:i w:val="0"/>
                <w:color w:val="0F172A"/>
                <w:sz w:val="17"/>
              </w:rPr>
              <w:t>Design choice</w:t>
            </w:r>
          </w:p>
        </w:tc>
        <w:tc>
          <w:tcPr>
            <w:tcW w:type="dxa" w:w="3420"/>
            <w:vAlign w:val="center"/>
            <w:tcMar>
              <w:top w:w="90" w:type="dxa"/>
              <w:start w:w="120" w:type="dxa"/>
              <w:bottom w:w="90" w:type="dxa"/>
              <w:end w:w="120" w:type="dxa"/>
            </w:tcMar>
            <w:shd w:fill="E8EEF5"/>
          </w:tcPr>
          <w:p>
            <w:pPr>
              <w:spacing w:after="0"/>
            </w:pPr>
            <w:r>
              <w:rPr>
                <w:rFonts w:ascii="Calibri" w:hAnsi="Calibri"/>
                <w:b/>
                <w:i w:val="0"/>
                <w:color w:val="0F172A"/>
                <w:sz w:val="17"/>
              </w:rPr>
              <w:t>Reason</w:t>
            </w:r>
          </w:p>
        </w:tc>
        <w:tc>
          <w:tcPr>
            <w:tcW w:type="dxa" w:w="3440"/>
            <w:vAlign w:val="center"/>
            <w:tcMar>
              <w:top w:w="90" w:type="dxa"/>
              <w:start w:w="120" w:type="dxa"/>
              <w:bottom w:w="90" w:type="dxa"/>
              <w:end w:w="120" w:type="dxa"/>
            </w:tcMar>
            <w:shd w:fill="E8EEF5"/>
          </w:tcPr>
          <w:p>
            <w:pPr>
              <w:spacing w:after="0"/>
            </w:pPr>
            <w:r>
              <w:rPr>
                <w:rFonts w:ascii="Calibri" w:hAnsi="Calibri"/>
                <w:b/>
                <w:i w:val="0"/>
                <w:color w:val="0F172A"/>
                <w:sz w:val="17"/>
              </w:rPr>
              <w:t>Evidence / safeguard</w:t>
            </w:r>
          </w:p>
        </w:tc>
      </w:tr>
      <w:tr>
        <w:tc>
          <w:tcPr>
            <w:tcW w:type="dxa" w:w="2500"/>
          </w:tcPr>
          <w:p>
            <w:pPr>
              <w:spacing w:after="0" w:line="264" w:lineRule="auto"/>
            </w:pPr>
            <w:r>
              <w:rPr>
                <w:rFonts w:ascii="Calibri" w:hAnsi="Calibri"/>
                <w:b w:val="0"/>
                <w:i w:val="0"/>
                <w:color w:val="0F172A"/>
                <w:sz w:val="17"/>
              </w:rPr>
              <w:t>Explore before full profile</w:t>
            </w:r>
          </w:p>
        </w:tc>
        <w:tc>
          <w:tcPr>
            <w:tcW w:type="dxa" w:w="3420"/>
          </w:tcPr>
          <w:p>
            <w:pPr>
              <w:spacing w:after="0" w:line="264" w:lineRule="auto"/>
            </w:pPr>
            <w:r>
              <w:rPr>
                <w:rFonts w:ascii="Calibri" w:hAnsi="Calibri"/>
                <w:b w:val="0"/>
                <w:i w:val="0"/>
                <w:color w:val="0F172A"/>
                <w:sz w:val="17"/>
              </w:rPr>
              <w:t>Builds understanding and trust before requesting extensive information.</w:t>
            </w:r>
          </w:p>
        </w:tc>
        <w:tc>
          <w:tcPr>
            <w:tcW w:type="dxa" w:w="3440"/>
          </w:tcPr>
          <w:p>
            <w:pPr>
              <w:spacing w:after="0" w:line="264" w:lineRule="auto"/>
            </w:pPr>
            <w:r>
              <w:rPr>
                <w:rFonts w:ascii="Calibri" w:hAnsi="Calibri"/>
                <w:b w:val="0"/>
                <w:i w:val="0"/>
                <w:color w:val="0F172A"/>
                <w:sz w:val="17"/>
              </w:rPr>
              <w:t>Application remains blocked until required readiness is complete.</w:t>
            </w:r>
          </w:p>
        </w:tc>
      </w:tr>
      <w:tr>
        <w:tc>
          <w:tcPr>
            <w:tcW w:type="dxa" w:w="2500"/>
          </w:tcPr>
          <w:p>
            <w:pPr>
              <w:spacing w:after="0" w:line="264" w:lineRule="auto"/>
            </w:pPr>
            <w:r>
              <w:rPr>
                <w:rFonts w:ascii="Calibri" w:hAnsi="Calibri"/>
                <w:b w:val="0"/>
                <w:i w:val="0"/>
                <w:color w:val="0F172A"/>
                <w:sz w:val="17"/>
              </w:rPr>
              <w:t>Email code before account creation</w:t>
            </w:r>
          </w:p>
        </w:tc>
        <w:tc>
          <w:tcPr>
            <w:tcW w:type="dxa" w:w="3420"/>
          </w:tcPr>
          <w:p>
            <w:pPr>
              <w:spacing w:after="0" w:line="264" w:lineRule="auto"/>
            </w:pPr>
            <w:r>
              <w:rPr>
                <w:rFonts w:ascii="Calibri" w:hAnsi="Calibri"/>
                <w:b w:val="0"/>
                <w:i w:val="0"/>
                <w:color w:val="0F172A"/>
                <w:sz w:val="17"/>
              </w:rPr>
              <w:t>Confirms a reachable address and reduces invalid account records.</w:t>
            </w:r>
          </w:p>
        </w:tc>
        <w:tc>
          <w:tcPr>
            <w:tcW w:type="dxa" w:w="3440"/>
          </w:tcPr>
          <w:p>
            <w:pPr>
              <w:spacing w:after="0" w:line="264" w:lineRule="auto"/>
            </w:pPr>
            <w:r>
              <w:rPr>
                <w:rFonts w:ascii="Calibri" w:hAnsi="Calibri"/>
                <w:b w:val="0"/>
                <w:i w:val="0"/>
                <w:color w:val="0F172A"/>
                <w:sz w:val="17"/>
              </w:rPr>
              <w:t>OWASP email verification guidance and DOST online scholarship practice [4][5].</w:t>
            </w:r>
          </w:p>
        </w:tc>
      </w:tr>
      <w:tr>
        <w:tc>
          <w:tcPr>
            <w:tcW w:type="dxa" w:w="2500"/>
          </w:tcPr>
          <w:p>
            <w:pPr>
              <w:spacing w:after="0" w:line="264" w:lineRule="auto"/>
            </w:pPr>
            <w:r>
              <w:rPr>
                <w:rFonts w:ascii="Calibri" w:hAnsi="Calibri"/>
                <w:b w:val="0"/>
                <w:i w:val="0"/>
                <w:color w:val="0F172A"/>
                <w:sz w:val="17"/>
              </w:rPr>
              <w:t>Separate role portals</w:t>
            </w:r>
          </w:p>
        </w:tc>
        <w:tc>
          <w:tcPr>
            <w:tcW w:type="dxa" w:w="3420"/>
          </w:tcPr>
          <w:p>
            <w:pPr>
              <w:spacing w:after="0" w:line="264" w:lineRule="auto"/>
            </w:pPr>
            <w:r>
              <w:rPr>
                <w:rFonts w:ascii="Calibri" w:hAnsi="Calibri"/>
                <w:b w:val="0"/>
                <w:i w:val="0"/>
                <w:color w:val="0F172A"/>
                <w:sz w:val="17"/>
              </w:rPr>
              <w:t>Applicant, provider, and admin work and risk are materially different.</w:t>
            </w:r>
          </w:p>
        </w:tc>
        <w:tc>
          <w:tcPr>
            <w:tcW w:type="dxa" w:w="3440"/>
          </w:tcPr>
          <w:p>
            <w:pPr>
              <w:spacing w:after="0" w:line="264" w:lineRule="auto"/>
            </w:pPr>
            <w:r>
              <w:rPr>
                <w:rFonts w:ascii="Calibri" w:hAnsi="Calibri"/>
                <w:b w:val="0"/>
                <w:i w:val="0"/>
                <w:color w:val="0F172A"/>
                <w:sz w:val="17"/>
              </w:rPr>
              <w:t>Least privilege and authorization on every request [8].</w:t>
            </w:r>
          </w:p>
        </w:tc>
      </w:tr>
      <w:tr>
        <w:tc>
          <w:tcPr>
            <w:tcW w:type="dxa" w:w="2500"/>
          </w:tcPr>
          <w:p>
            <w:pPr>
              <w:spacing w:after="0" w:line="264" w:lineRule="auto"/>
            </w:pPr>
            <w:r>
              <w:rPr>
                <w:rFonts w:ascii="Calibri" w:hAnsi="Calibri"/>
                <w:b w:val="0"/>
                <w:i w:val="0"/>
                <w:color w:val="0F172A"/>
                <w:sz w:val="17"/>
              </w:rPr>
              <w:t>Provider verification</w:t>
            </w:r>
          </w:p>
        </w:tc>
        <w:tc>
          <w:tcPr>
            <w:tcW w:type="dxa" w:w="3420"/>
          </w:tcPr>
          <w:p>
            <w:pPr>
              <w:spacing w:after="0" w:line="264" w:lineRule="auto"/>
            </w:pPr>
            <w:r>
              <w:rPr>
                <w:rFonts w:ascii="Calibri" w:hAnsi="Calibri"/>
                <w:b w:val="0"/>
                <w:i w:val="0"/>
                <w:color w:val="0F172A"/>
                <w:sz w:val="17"/>
              </w:rPr>
              <w:t>Email ownership alone does not prove organizational authority.</w:t>
            </w:r>
          </w:p>
        </w:tc>
        <w:tc>
          <w:tcPr>
            <w:tcW w:type="dxa" w:w="3440"/>
          </w:tcPr>
          <w:p>
            <w:pPr>
              <w:spacing w:after="0" w:line="264" w:lineRule="auto"/>
            </w:pPr>
            <w:r>
              <w:rPr>
                <w:rFonts w:ascii="Calibri" w:hAnsi="Calibri"/>
                <w:b w:val="0"/>
                <w:i w:val="0"/>
                <w:color w:val="0F172A"/>
                <w:sz w:val="17"/>
              </w:rPr>
              <w:t>Administrator checks proof and records a reasoned status.</w:t>
            </w:r>
          </w:p>
        </w:tc>
      </w:tr>
      <w:tr>
        <w:tc>
          <w:tcPr>
            <w:tcW w:type="dxa" w:w="2500"/>
          </w:tcPr>
          <w:p>
            <w:pPr>
              <w:spacing w:after="0" w:line="264" w:lineRule="auto"/>
            </w:pPr>
            <w:r>
              <w:rPr>
                <w:rFonts w:ascii="Calibri" w:hAnsi="Calibri"/>
                <w:b w:val="0"/>
                <w:i w:val="0"/>
                <w:color w:val="0F172A"/>
                <w:sz w:val="17"/>
              </w:rPr>
              <w:t>Program review before publication</w:t>
            </w:r>
          </w:p>
        </w:tc>
        <w:tc>
          <w:tcPr>
            <w:tcW w:type="dxa" w:w="3420"/>
          </w:tcPr>
          <w:p>
            <w:pPr>
              <w:spacing w:after="0" w:line="264" w:lineRule="auto"/>
            </w:pPr>
            <w:r>
              <w:rPr>
                <w:rFonts w:ascii="Calibri" w:hAnsi="Calibri"/>
                <w:b w:val="0"/>
                <w:i w:val="0"/>
                <w:color w:val="0F172A"/>
                <w:sz w:val="17"/>
              </w:rPr>
              <w:t>A legitimate provider can still submit an unclear, incomplete, or inappropriate offer.</w:t>
            </w:r>
          </w:p>
        </w:tc>
        <w:tc>
          <w:tcPr>
            <w:tcW w:type="dxa" w:w="3440"/>
          </w:tcPr>
          <w:p>
            <w:pPr>
              <w:spacing w:after="0" w:line="264" w:lineRule="auto"/>
            </w:pPr>
            <w:r>
              <w:rPr>
                <w:rFonts w:ascii="Calibri" w:hAnsi="Calibri"/>
                <w:b w:val="0"/>
                <w:i w:val="0"/>
                <w:color w:val="0F172A"/>
                <w:sz w:val="17"/>
              </w:rPr>
              <w:t>Separate organization and content trust gates.</w:t>
            </w:r>
          </w:p>
        </w:tc>
      </w:tr>
      <w:tr>
        <w:tc>
          <w:tcPr>
            <w:tcW w:type="dxa" w:w="2500"/>
          </w:tcPr>
          <w:p>
            <w:pPr>
              <w:spacing w:after="0" w:line="264" w:lineRule="auto"/>
            </w:pPr>
            <w:r>
              <w:rPr>
                <w:rFonts w:ascii="Calibri" w:hAnsi="Calibri"/>
                <w:b w:val="0"/>
                <w:i w:val="0"/>
                <w:color w:val="0F172A"/>
                <w:sz w:val="17"/>
              </w:rPr>
              <w:t>Reusable documents</w:t>
            </w:r>
          </w:p>
        </w:tc>
        <w:tc>
          <w:tcPr>
            <w:tcW w:type="dxa" w:w="3420"/>
          </w:tcPr>
          <w:p>
            <w:pPr>
              <w:spacing w:after="0" w:line="264" w:lineRule="auto"/>
            </w:pPr>
            <w:r>
              <w:rPr>
                <w:rFonts w:ascii="Calibri" w:hAnsi="Calibri"/>
                <w:b w:val="0"/>
                <w:i w:val="0"/>
                <w:color w:val="0F172A"/>
                <w:sz w:val="17"/>
              </w:rPr>
              <w:t>Reduces repeated effort for common requirements.</w:t>
            </w:r>
          </w:p>
        </w:tc>
        <w:tc>
          <w:tcPr>
            <w:tcW w:type="dxa" w:w="3440"/>
          </w:tcPr>
          <w:p>
            <w:pPr>
              <w:spacing w:after="0" w:line="264" w:lineRule="auto"/>
            </w:pPr>
            <w:r>
              <w:rPr>
                <w:rFonts w:ascii="Calibri" w:hAnsi="Calibri"/>
                <w:b w:val="0"/>
                <w:i w:val="0"/>
                <w:color w:val="0F172A"/>
                <w:sz w:val="17"/>
              </w:rPr>
              <w:t>Files are disclosed only when attached to a selected application.</w:t>
            </w:r>
          </w:p>
        </w:tc>
      </w:tr>
      <w:tr>
        <w:tc>
          <w:tcPr>
            <w:tcW w:type="dxa" w:w="2500"/>
          </w:tcPr>
          <w:p>
            <w:pPr>
              <w:spacing w:after="0" w:line="264" w:lineRule="auto"/>
            </w:pPr>
            <w:r>
              <w:rPr>
                <w:rFonts w:ascii="Calibri" w:hAnsi="Calibri"/>
                <w:b w:val="0"/>
                <w:i w:val="0"/>
                <w:color w:val="0F172A"/>
                <w:sz w:val="17"/>
              </w:rPr>
              <w:t>Program-specific checklist</w:t>
            </w:r>
          </w:p>
        </w:tc>
        <w:tc>
          <w:tcPr>
            <w:tcW w:type="dxa" w:w="3420"/>
          </w:tcPr>
          <w:p>
            <w:pPr>
              <w:spacing w:after="0" w:line="264" w:lineRule="auto"/>
            </w:pPr>
            <w:r>
              <w:rPr>
                <w:rFonts w:ascii="Calibri" w:hAnsi="Calibri"/>
                <w:b w:val="0"/>
                <w:i w:val="0"/>
                <w:color w:val="0F172A"/>
                <w:sz w:val="17"/>
              </w:rPr>
              <w:t>Providers require different evidence for different target groups.</w:t>
            </w:r>
          </w:p>
        </w:tc>
        <w:tc>
          <w:tcPr>
            <w:tcW w:type="dxa" w:w="3440"/>
          </w:tcPr>
          <w:p>
            <w:pPr>
              <w:spacing w:after="0" w:line="264" w:lineRule="auto"/>
            </w:pPr>
            <w:r>
              <w:rPr>
                <w:rFonts w:ascii="Calibri" w:hAnsi="Calibri"/>
                <w:b w:val="0"/>
                <w:i w:val="0"/>
                <w:color w:val="0F172A"/>
                <w:sz w:val="17"/>
              </w:rPr>
              <w:t>Common storage does not override the program's own requirements.</w:t>
            </w:r>
          </w:p>
        </w:tc>
      </w:tr>
      <w:tr>
        <w:tc>
          <w:tcPr>
            <w:tcW w:type="dxa" w:w="2500"/>
          </w:tcPr>
          <w:p>
            <w:pPr>
              <w:spacing w:after="0" w:line="264" w:lineRule="auto"/>
            </w:pPr>
            <w:r>
              <w:rPr>
                <w:rFonts w:ascii="Calibri" w:hAnsi="Calibri"/>
                <w:b w:val="0"/>
                <w:i w:val="0"/>
                <w:color w:val="0F172A"/>
                <w:sz w:val="17"/>
              </w:rPr>
              <w:t>Three-step application wizard</w:t>
            </w:r>
          </w:p>
        </w:tc>
        <w:tc>
          <w:tcPr>
            <w:tcW w:type="dxa" w:w="3420"/>
          </w:tcPr>
          <w:p>
            <w:pPr>
              <w:spacing w:after="0" w:line="264" w:lineRule="auto"/>
            </w:pPr>
            <w:r>
              <w:rPr>
                <w:rFonts w:ascii="Calibri" w:hAnsi="Calibri"/>
                <w:b w:val="0"/>
                <w:i w:val="0"/>
                <w:color w:val="0F172A"/>
                <w:sz w:val="17"/>
              </w:rPr>
              <w:t>Separates understanding, file preparation, and informed submission.</w:t>
            </w:r>
          </w:p>
        </w:tc>
        <w:tc>
          <w:tcPr>
            <w:tcW w:type="dxa" w:w="3440"/>
          </w:tcPr>
          <w:p>
            <w:pPr>
              <w:spacing w:after="0" w:line="264" w:lineRule="auto"/>
            </w:pPr>
            <w:r>
              <w:rPr>
                <w:rFonts w:ascii="Calibri" w:hAnsi="Calibri"/>
                <w:b w:val="0"/>
                <w:i w:val="0"/>
                <w:color w:val="0F172A"/>
                <w:sz w:val="17"/>
              </w:rPr>
              <w:t>Final review and terms precede disclosure to the provider.</w:t>
            </w:r>
          </w:p>
        </w:tc>
      </w:tr>
      <w:tr>
        <w:tc>
          <w:tcPr>
            <w:tcW w:type="dxa" w:w="2500"/>
          </w:tcPr>
          <w:p>
            <w:pPr>
              <w:spacing w:after="0" w:line="264" w:lineRule="auto"/>
            </w:pPr>
            <w:r>
              <w:rPr>
                <w:rFonts w:ascii="Calibri" w:hAnsi="Calibri"/>
                <w:b w:val="0"/>
                <w:i w:val="0"/>
                <w:color w:val="0F172A"/>
                <w:sz w:val="17"/>
              </w:rPr>
              <w:t>Configurable stages</w:t>
            </w:r>
          </w:p>
        </w:tc>
        <w:tc>
          <w:tcPr>
            <w:tcW w:type="dxa" w:w="3420"/>
          </w:tcPr>
          <w:p>
            <w:pPr>
              <w:spacing w:after="0" w:line="264" w:lineRule="auto"/>
            </w:pPr>
            <w:r>
              <w:rPr>
                <w:rFonts w:ascii="Calibri" w:hAnsi="Calibri"/>
                <w:b w:val="0"/>
                <w:i w:val="0"/>
                <w:color w:val="0F172A"/>
                <w:sz w:val="17"/>
              </w:rPr>
              <w:t>Some programs require only documents; others include exams or interviews.</w:t>
            </w:r>
          </w:p>
        </w:tc>
        <w:tc>
          <w:tcPr>
            <w:tcW w:type="dxa" w:w="3440"/>
          </w:tcPr>
          <w:p>
            <w:pPr>
              <w:spacing w:after="0" w:line="264" w:lineRule="auto"/>
            </w:pPr>
            <w:r>
              <w:rPr>
                <w:rFonts w:ascii="Calibri" w:hAnsi="Calibri"/>
                <w:b w:val="0"/>
                <w:i w:val="0"/>
                <w:color w:val="0F172A"/>
                <w:sz w:val="17"/>
              </w:rPr>
              <w:t>DOST provides a real example of examination-based selection [6].</w:t>
            </w:r>
          </w:p>
        </w:tc>
      </w:tr>
      <w:tr>
        <w:tc>
          <w:tcPr>
            <w:tcW w:type="dxa" w:w="2500"/>
          </w:tcPr>
          <w:p>
            <w:pPr>
              <w:spacing w:after="0" w:line="264" w:lineRule="auto"/>
            </w:pPr>
            <w:r>
              <w:rPr>
                <w:rFonts w:ascii="Calibri" w:hAnsi="Calibri"/>
                <w:b w:val="0"/>
                <w:i w:val="0"/>
                <w:color w:val="0F172A"/>
                <w:sz w:val="17"/>
              </w:rPr>
              <w:t>Program-level events</w:t>
            </w:r>
          </w:p>
        </w:tc>
        <w:tc>
          <w:tcPr>
            <w:tcW w:type="dxa" w:w="3420"/>
          </w:tcPr>
          <w:p>
            <w:pPr>
              <w:spacing w:after="0" w:line="264" w:lineRule="auto"/>
            </w:pPr>
            <w:r>
              <w:rPr>
                <w:rFonts w:ascii="Calibri" w:hAnsi="Calibri"/>
                <w:b w:val="0"/>
                <w:i w:val="0"/>
                <w:color w:val="0F172A"/>
                <w:sz w:val="17"/>
              </w:rPr>
              <w:t>One event can serve many eligible applicants efficiently.</w:t>
            </w:r>
          </w:p>
        </w:tc>
        <w:tc>
          <w:tcPr>
            <w:tcW w:type="dxa" w:w="3440"/>
          </w:tcPr>
          <w:p>
            <w:pPr>
              <w:spacing w:after="0" w:line="264" w:lineRule="auto"/>
            </w:pPr>
            <w:r>
              <w:rPr>
                <w:rFonts w:ascii="Calibri" w:hAnsi="Calibri"/>
                <w:b w:val="0"/>
                <w:i w:val="0"/>
                <w:color w:val="0F172A"/>
                <w:sz w:val="17"/>
              </w:rPr>
              <w:t>Stage eligibility prevents an event from moving completed applicants backward.</w:t>
            </w:r>
          </w:p>
        </w:tc>
      </w:tr>
      <w:tr>
        <w:tc>
          <w:tcPr>
            <w:tcW w:type="dxa" w:w="2500"/>
          </w:tcPr>
          <w:p>
            <w:pPr>
              <w:spacing w:after="0" w:line="264" w:lineRule="auto"/>
            </w:pPr>
            <w:r>
              <w:rPr>
                <w:rFonts w:ascii="Calibri" w:hAnsi="Calibri"/>
                <w:b w:val="0"/>
                <w:i w:val="0"/>
                <w:color w:val="0F172A"/>
                <w:sz w:val="17"/>
              </w:rPr>
              <w:t>DSS plus human decision</w:t>
            </w:r>
          </w:p>
        </w:tc>
        <w:tc>
          <w:tcPr>
            <w:tcW w:type="dxa" w:w="3420"/>
          </w:tcPr>
          <w:p>
            <w:pPr>
              <w:spacing w:after="0" w:line="264" w:lineRule="auto"/>
            </w:pPr>
            <w:r>
              <w:rPr>
                <w:rFonts w:ascii="Calibri" w:hAnsi="Calibri"/>
                <w:b w:val="0"/>
                <w:i w:val="0"/>
                <w:color w:val="0F172A"/>
                <w:sz w:val="17"/>
              </w:rPr>
              <w:t>Structured guidance improves consistency but cannot capture all context.</w:t>
            </w:r>
          </w:p>
        </w:tc>
        <w:tc>
          <w:tcPr>
            <w:tcW w:type="dxa" w:w="3440"/>
          </w:tcPr>
          <w:p>
            <w:pPr>
              <w:spacing w:after="0" w:line="264" w:lineRule="auto"/>
            </w:pPr>
            <w:r>
              <w:rPr>
                <w:rFonts w:ascii="Calibri" w:hAnsi="Calibri"/>
                <w:b w:val="0"/>
                <w:i w:val="0"/>
                <w:color w:val="0F172A"/>
                <w:sz w:val="17"/>
              </w:rPr>
              <w:t>NIST emphasizes defined human roles and oversight [7].</w:t>
            </w:r>
          </w:p>
        </w:tc>
      </w:tr>
      <w:tr>
        <w:tc>
          <w:tcPr>
            <w:tcW w:type="dxa" w:w="2500"/>
          </w:tcPr>
          <w:p>
            <w:pPr>
              <w:spacing w:after="0" w:line="264" w:lineRule="auto"/>
            </w:pPr>
            <w:r>
              <w:rPr>
                <w:rFonts w:ascii="Calibri" w:hAnsi="Calibri"/>
                <w:b w:val="0"/>
                <w:i w:val="0"/>
                <w:color w:val="0F172A"/>
                <w:sz w:val="17"/>
              </w:rPr>
              <w:t>Notifications plus history</w:t>
            </w:r>
          </w:p>
        </w:tc>
        <w:tc>
          <w:tcPr>
            <w:tcW w:type="dxa" w:w="3420"/>
          </w:tcPr>
          <w:p>
            <w:pPr>
              <w:spacing w:after="0" w:line="264" w:lineRule="auto"/>
            </w:pPr>
            <w:r>
              <w:rPr>
                <w:rFonts w:ascii="Calibri" w:hAnsi="Calibri"/>
                <w:b w:val="0"/>
                <w:i w:val="0"/>
                <w:color w:val="0F172A"/>
                <w:sz w:val="17"/>
              </w:rPr>
              <w:t>Users need timely action prompts and a durable record.</w:t>
            </w:r>
          </w:p>
        </w:tc>
        <w:tc>
          <w:tcPr>
            <w:tcW w:type="dxa" w:w="3440"/>
          </w:tcPr>
          <w:p>
            <w:pPr>
              <w:spacing w:after="0" w:line="264" w:lineRule="auto"/>
            </w:pPr>
            <w:r>
              <w:rPr>
                <w:rFonts w:ascii="Calibri" w:hAnsi="Calibri"/>
                <w:b w:val="0"/>
                <w:i w:val="0"/>
                <w:color w:val="0F172A"/>
                <w:sz w:val="17"/>
              </w:rPr>
              <w:t>Email complements, but does not replace, in-platform history.</w:t>
            </w:r>
          </w:p>
        </w:tc>
      </w:tr>
      <w:tr>
        <w:tc>
          <w:tcPr>
            <w:tcW w:type="dxa" w:w="2500"/>
          </w:tcPr>
          <w:p>
            <w:pPr>
              <w:spacing w:after="0" w:line="264" w:lineRule="auto"/>
            </w:pPr>
            <w:r>
              <w:rPr>
                <w:rFonts w:ascii="Calibri" w:hAnsi="Calibri"/>
                <w:b w:val="0"/>
                <w:i w:val="0"/>
                <w:color w:val="0F172A"/>
                <w:sz w:val="17"/>
              </w:rPr>
              <w:t>Reports and logs</w:t>
            </w:r>
          </w:p>
        </w:tc>
        <w:tc>
          <w:tcPr>
            <w:tcW w:type="dxa" w:w="3420"/>
          </w:tcPr>
          <w:p>
            <w:pPr>
              <w:spacing w:after="0" w:line="264" w:lineRule="auto"/>
            </w:pPr>
            <w:r>
              <w:rPr>
                <w:rFonts w:ascii="Calibri" w:hAnsi="Calibri"/>
                <w:b w:val="0"/>
                <w:i w:val="0"/>
                <w:color w:val="0F172A"/>
                <w:sz w:val="17"/>
              </w:rPr>
              <w:t>Operational problems and privileged actions must be traceable.</w:t>
            </w:r>
          </w:p>
        </w:tc>
        <w:tc>
          <w:tcPr>
            <w:tcW w:type="dxa" w:w="3440"/>
          </w:tcPr>
          <w:p>
            <w:pPr>
              <w:spacing w:after="0" w:line="264" w:lineRule="auto"/>
            </w:pPr>
            <w:r>
              <w:rPr>
                <w:rFonts w:ascii="Calibri" w:hAnsi="Calibri"/>
                <w:b w:val="0"/>
                <w:i w:val="0"/>
                <w:color w:val="0F172A"/>
                <w:sz w:val="17"/>
              </w:rPr>
              <w:t>OWASP recommends appropriate authorization logging [8].</w:t>
            </w:r>
          </w:p>
        </w:tc>
      </w:tr>
      <w:tr>
        <w:tc>
          <w:tcPr>
            <w:tcW w:type="dxa" w:w="2500"/>
          </w:tcPr>
          <w:p>
            <w:pPr>
              <w:spacing w:after="0" w:line="264" w:lineRule="auto"/>
            </w:pPr>
            <w:r>
              <w:rPr>
                <w:rFonts w:ascii="Calibri" w:hAnsi="Calibri"/>
                <w:b w:val="0"/>
                <w:i w:val="0"/>
                <w:color w:val="0F172A"/>
                <w:sz w:val="17"/>
              </w:rPr>
              <w:t>Institution-sponsored core</w:t>
            </w:r>
          </w:p>
        </w:tc>
        <w:tc>
          <w:tcPr>
            <w:tcW w:type="dxa" w:w="3420"/>
          </w:tcPr>
          <w:p>
            <w:pPr>
              <w:spacing w:after="0" w:line="264" w:lineRule="auto"/>
            </w:pPr>
            <w:r>
              <w:rPr>
                <w:rFonts w:ascii="Calibri" w:hAnsi="Calibri"/>
                <w:b w:val="0"/>
                <w:i w:val="0"/>
                <w:color w:val="0F172A"/>
                <w:sz w:val="17"/>
              </w:rPr>
              <w:t>Shared infrastructure benefits multiple providers and applicants.</w:t>
            </w:r>
          </w:p>
        </w:tc>
        <w:tc>
          <w:tcPr>
            <w:tcW w:type="dxa" w:w="3440"/>
          </w:tcPr>
          <w:p>
            <w:pPr>
              <w:spacing w:after="0" w:line="264" w:lineRule="auto"/>
            </w:pPr>
            <w:r>
              <w:rPr>
                <w:rFonts w:ascii="Calibri" w:hAnsi="Calibri"/>
                <w:b w:val="0"/>
                <w:i w:val="0"/>
                <w:color w:val="0F172A"/>
                <w:sz w:val="17"/>
              </w:rPr>
              <w:t>World Bank and UNDP describe shared digital infrastructure as a way to reduce duplication and scale inclusive services [9][10].</w:t>
            </w:r>
          </w:p>
        </w:tc>
      </w:tr>
    </w:tbl>
    <w:p>
      <w:pPr>
        <w:spacing w:after="0"/>
        <w:widowControl w:val="1"/>
      </w:pPr>
    </w:p>
    <w:p>
      <w:pPr>
        <w:pStyle w:val="Heading1"/>
        <w:widowControl w:val="1"/>
      </w:pPr>
      <w:r>
        <w:t>13. Privacy, Security, Notifications, and Support</w:t>
      </w:r>
    </w:p>
    <w:p>
      <w:pPr>
        <w:pStyle w:val="Heading2"/>
        <w:widowControl w:val="1"/>
      </w:pPr>
      <w:r>
        <w:t>13.1 Privacy explanation</w:t>
      </w:r>
    </w:p>
    <w:p>
      <w:pPr>
        <w:keepLines w:val="0"/>
        <w:widowControl w:val="1"/>
      </w:pPr>
      <w:r>
        <w:rPr>
          <w:rFonts w:ascii="Calibri" w:hAnsi="Calibri"/>
          <w:b w:val="0"/>
          <w:i w:val="0"/>
          <w:color w:val="0F172A"/>
          <w:sz w:val="22"/>
        </w:rPr>
        <w:t>Privacy notices should state what is collected, why it is needed, who can access it, external services involved, retention limitations, younger-applicant considerations, and how to request correction or deletion review. Clear language supports the transparency principle [3].</w:t>
      </w:r>
    </w:p>
    <w:p>
      <w:pPr>
        <w:pStyle w:val="Heading2"/>
        <w:widowControl w:val="1"/>
      </w:pPr>
      <w:r>
        <w:t>13.2 Current security controls to demonstrate</w:t>
      </w:r>
    </w:p>
    <w:p>
      <w:pPr>
        <w:numPr>
          <w:ilvl w:val="0"/>
          <w:numId w:val="90"/>
        </w:numPr>
        <w:spacing w:after="80" w:line="300" w:lineRule="auto"/>
        <w:widowControl w:val="1"/>
      </w:pPr>
      <w:r>
        <w:rPr>
          <w:rFonts w:ascii="Calibri" w:hAnsi="Calibri"/>
          <w:b w:val="0"/>
          <w:i w:val="0"/>
          <w:color w:val="0F172A"/>
          <w:sz w:val="22"/>
        </w:rPr>
        <w:t>Password hashing and authenticated sessions.</w:t>
      </w:r>
    </w:p>
    <w:p>
      <w:pPr>
        <w:numPr>
          <w:ilvl w:val="0"/>
          <w:numId w:val="90"/>
        </w:numPr>
        <w:spacing w:after="80" w:line="300" w:lineRule="auto"/>
        <w:widowControl w:val="1"/>
      </w:pPr>
      <w:r>
        <w:rPr>
          <w:rFonts w:ascii="Calibri" w:hAnsi="Calibri"/>
          <w:b w:val="0"/>
          <w:i w:val="0"/>
          <w:color w:val="0F172A"/>
          <w:sz w:val="22"/>
        </w:rPr>
        <w:t>Email verification before normal registration completes.</w:t>
      </w:r>
    </w:p>
    <w:p>
      <w:pPr>
        <w:numPr>
          <w:ilvl w:val="0"/>
          <w:numId w:val="90"/>
        </w:numPr>
        <w:spacing w:after="80" w:line="300" w:lineRule="auto"/>
        <w:widowControl w:val="1"/>
      </w:pPr>
      <w:r>
        <w:rPr>
          <w:rFonts w:ascii="Calibri" w:hAnsi="Calibri"/>
          <w:b w:val="0"/>
          <w:i w:val="0"/>
          <w:color w:val="0F172A"/>
          <w:sz w:val="22"/>
        </w:rPr>
        <w:t>Role middleware and permission checks for applicant, provider, and administrator routes.</w:t>
      </w:r>
    </w:p>
    <w:p>
      <w:pPr>
        <w:numPr>
          <w:ilvl w:val="0"/>
          <w:numId w:val="90"/>
        </w:numPr>
        <w:spacing w:after="80" w:line="300" w:lineRule="auto"/>
        <w:widowControl w:val="1"/>
      </w:pPr>
      <w:r>
        <w:rPr>
          <w:rFonts w:ascii="Calibri" w:hAnsi="Calibri"/>
          <w:b w:val="0"/>
          <w:i w:val="0"/>
          <w:color w:val="0F172A"/>
          <w:sz w:val="22"/>
        </w:rPr>
        <w:t>Provider ownership checks for programs and applications.</w:t>
      </w:r>
    </w:p>
    <w:p>
      <w:pPr>
        <w:numPr>
          <w:ilvl w:val="0"/>
          <w:numId w:val="90"/>
        </w:numPr>
        <w:spacing w:after="80" w:line="300" w:lineRule="auto"/>
        <w:widowControl w:val="1"/>
      </w:pPr>
      <w:r>
        <w:rPr>
          <w:rFonts w:ascii="Calibri" w:hAnsi="Calibri"/>
          <w:b w:val="0"/>
          <w:i w:val="0"/>
          <w:color w:val="0F172A"/>
          <w:sz w:val="22"/>
        </w:rPr>
        <w:t>Protected document view/download routes rather than public storage URLs.</w:t>
      </w:r>
    </w:p>
    <w:p>
      <w:pPr>
        <w:numPr>
          <w:ilvl w:val="0"/>
          <w:numId w:val="90"/>
        </w:numPr>
        <w:spacing w:after="80" w:line="300" w:lineRule="auto"/>
        <w:widowControl w:val="1"/>
      </w:pPr>
      <w:r>
        <w:rPr>
          <w:rFonts w:ascii="Calibri" w:hAnsi="Calibri"/>
          <w:b w:val="0"/>
          <w:i w:val="0"/>
          <w:color w:val="0F172A"/>
          <w:sz w:val="22"/>
        </w:rPr>
        <w:t>Terms acceptance records, confirmation dialogs, audit logs, and status histories.</w:t>
      </w:r>
    </w:p>
    <w:p>
      <w:pPr>
        <w:numPr>
          <w:ilvl w:val="0"/>
          <w:numId w:val="90"/>
        </w:numPr>
        <w:spacing w:after="80" w:line="300" w:lineRule="auto"/>
        <w:widowControl w:val="1"/>
      </w:pPr>
      <w:r>
        <w:rPr>
          <w:rFonts w:ascii="Calibri" w:hAnsi="Calibri"/>
          <w:b w:val="0"/>
          <w:i w:val="0"/>
          <w:color w:val="0F172A"/>
          <w:sz w:val="22"/>
        </w:rPr>
        <w:t>Admin self-protection against suspending the current account.</w:t>
      </w:r>
    </w:p>
    <w:p>
      <w:pPr>
        <w:pStyle w:val="Heading2"/>
        <w:widowControl w:val="1"/>
      </w:pPr>
      <w:r>
        <w:t>13.3 Notifications</w:t>
      </w:r>
    </w:p>
    <w:p>
      <w:pPr>
        <w:keepLines w:val="0"/>
        <w:widowControl w:val="1"/>
      </w:pPr>
      <w:r>
        <w:rPr>
          <w:rFonts w:ascii="Calibri" w:hAnsi="Calibri"/>
          <w:b w:val="0"/>
          <w:i w:val="0"/>
          <w:color w:val="0F172A"/>
          <w:sz w:val="22"/>
        </w:rPr>
        <w:t>The notification bell provides an unread count and mark-as-read behavior. Important registration, verification, review, schedule, and decision events may also send email. Clicking a notification opens a summary and a Proceed action rather than unexpectedly navigating away.</w:t>
      </w:r>
    </w:p>
    <w:p>
      <w:pPr>
        <w:keepLines w:val="0"/>
        <w:widowControl w:val="1"/>
      </w:pPr>
      <w:r>
        <w:rPr>
          <w:rFonts w:ascii="Calibri" w:hAnsi="Calibri"/>
          <w:b w:val="0"/>
          <w:i w:val="0"/>
          <w:color w:val="0F172A"/>
          <w:sz w:val="22"/>
        </w:rPr>
        <w:t>Email is a secondary channel. The platform should remain the authoritative place for current status and history because email can be delayed, filtered, or unavailable.</w:t>
      </w:r>
    </w:p>
    <w:p>
      <w:pPr>
        <w:pStyle w:val="Heading2"/>
        <w:widowControl w:val="1"/>
      </w:pPr>
      <w:r>
        <w:t>13.4 Support and conflict handling</w:t>
      </w:r>
    </w:p>
    <w:p>
      <w:pPr>
        <w:keepLines w:val="0"/>
        <w:widowControl w:val="1"/>
      </w:pPr>
      <w:r>
        <w:rPr>
          <w:rFonts w:ascii="Calibri" w:hAnsi="Calibri"/>
          <w:b w:val="0"/>
          <w:i w:val="0"/>
          <w:color w:val="0F172A"/>
          <w:sz w:val="22"/>
        </w:rPr>
        <w:t>A program-related report can be worked on by the provider while remaining visible to administrators. Provider and admin status should be stored independently or coordinated through a clear ownership rule so one party marking an issue resolved does not erase the other's responsibility.</w:t>
      </w:r>
    </w:p>
    <w:p>
      <w:pPr>
        <w:pStyle w:val="Heading1"/>
        <w:widowControl w:val="1"/>
      </w:pPr>
      <w:r>
        <w:t>14. Sustainability Model</w:t>
      </w:r>
    </w:p>
    <w:p>
      <w:pPr>
        <w:pStyle w:val="Heading2"/>
        <w:widowControl w:val="1"/>
      </w:pPr>
      <w:r>
        <w:t>14.1 What sustainability means</w:t>
      </w:r>
    </w:p>
    <w:p>
      <w:pPr>
        <w:keepLines w:val="0"/>
        <w:widowControl w:val="1"/>
      </w:pPr>
      <w:r>
        <w:rPr>
          <w:rFonts w:ascii="Calibri" w:hAnsi="Calibri"/>
          <w:b w:val="0"/>
          <w:i w:val="0"/>
          <w:color w:val="0F172A"/>
          <w:sz w:val="22"/>
        </w:rPr>
        <w:t>Sustainability means the platform can remain available, secure, governed, maintained, and useful after the capstone demonstration. It includes funding, ownership, technical maintenance, privacy governance, provider adoption, user support, backups, and succession planning.</w:t>
      </w:r>
    </w:p>
    <w:p>
      <w:pPr>
        <w:pStyle w:val="Heading2"/>
        <w:widowControl w:val="1"/>
      </w:pPr>
      <w:r>
        <w:t>14.2 Recommended model</w:t>
      </w:r>
    </w:p>
    <w:p>
      <w:pPr>
        <w:pStyle w:val="KeyMessage"/>
        <w:widowControl w:val="1"/>
      </w:pPr>
      <w:r>
        <w:rPr>
          <w:rFonts w:ascii="Calibri" w:hAnsi="Calibri"/>
          <w:b/>
          <w:i w:val="0"/>
          <w:color w:val="0F172A"/>
          <w:sz w:val="22"/>
        </w:rPr>
        <w:t xml:space="preserve">Recommendation: </w:t>
      </w:r>
      <w:r>
        <w:rPr>
          <w:rFonts w:ascii="Calibri" w:hAnsi="Calibri"/>
          <w:b w:val="0"/>
          <w:i w:val="0"/>
          <w:color w:val="0F172A"/>
          <w:sz w:val="22"/>
        </w:rPr>
        <w:t>Use an institution-sponsored public-interest core with free essential access for applicants and scholarship providers, supplemented by grants, partnerships, and optional provider services that do not affect ranking or decisions.</w:t>
      </w:r>
    </w:p>
    <w:p>
      <w:pPr>
        <w:pStyle w:val="Heading2"/>
        <w:widowControl w:val="1"/>
      </w:pPr>
      <w:r>
        <w:t>14.3 Why providers should not be required to pay subscriptions</w:t>
      </w:r>
    </w:p>
    <w:p>
      <w:pPr>
        <w:numPr>
          <w:ilvl w:val="0"/>
          <w:numId w:val="90"/>
        </w:numPr>
        <w:spacing w:after="80" w:line="300" w:lineRule="auto"/>
        <w:widowControl w:val="1"/>
      </w:pPr>
      <w:r>
        <w:rPr>
          <w:rFonts w:ascii="Calibri" w:hAnsi="Calibri"/>
          <w:b w:val="0"/>
          <w:i w:val="0"/>
          <w:color w:val="0F172A"/>
          <w:sz w:val="22"/>
        </w:rPr>
        <w:t>Providers already allocate funds or in-kind resources to scholarships. A mandatory subscription can redirect money away from beneficiaries.</w:t>
      </w:r>
    </w:p>
    <w:p>
      <w:pPr>
        <w:numPr>
          <w:ilvl w:val="0"/>
          <w:numId w:val="90"/>
        </w:numPr>
        <w:spacing w:after="80" w:line="300" w:lineRule="auto"/>
        <w:widowControl w:val="1"/>
      </w:pPr>
      <w:r>
        <w:rPr>
          <w:rFonts w:ascii="Calibri" w:hAnsi="Calibri"/>
          <w:b w:val="0"/>
          <w:i w:val="0"/>
          <w:color w:val="0F172A"/>
          <w:sz w:val="22"/>
        </w:rPr>
        <w:t>Small foundations, alumni groups, schools, local businesses, and community organizations may offer useful programs but cannot justify a recurring software expense.</w:t>
      </w:r>
    </w:p>
    <w:p>
      <w:pPr>
        <w:numPr>
          <w:ilvl w:val="0"/>
          <w:numId w:val="90"/>
        </w:numPr>
        <w:spacing w:after="80" w:line="300" w:lineRule="auto"/>
        <w:widowControl w:val="1"/>
      </w:pPr>
      <w:r>
        <w:rPr>
          <w:rFonts w:ascii="Calibri" w:hAnsi="Calibri"/>
          <w:b w:val="0"/>
          <w:i w:val="0"/>
          <w:color w:val="0F172A"/>
          <w:sz w:val="22"/>
        </w:rPr>
        <w:t>Many providers open applications only once or twice per year, making monthly billing poorly aligned with actual use.</w:t>
      </w:r>
    </w:p>
    <w:p>
      <w:pPr>
        <w:numPr>
          <w:ilvl w:val="0"/>
          <w:numId w:val="90"/>
        </w:numPr>
        <w:spacing w:after="80" w:line="300" w:lineRule="auto"/>
        <w:widowControl w:val="1"/>
      </w:pPr>
      <w:r>
        <w:rPr>
          <w:rFonts w:ascii="Calibri" w:hAnsi="Calibri"/>
          <w:b w:val="0"/>
          <w:i w:val="0"/>
          <w:color w:val="0F172A"/>
          <w:sz w:val="22"/>
        </w:rPr>
        <w:t>The platform needs broad provider participation to produce enough choices for applicants. A paywall weakens this network before value is proven.</w:t>
      </w:r>
    </w:p>
    <w:p>
      <w:pPr>
        <w:numPr>
          <w:ilvl w:val="0"/>
          <w:numId w:val="90"/>
        </w:numPr>
        <w:spacing w:after="80" w:line="300" w:lineRule="auto"/>
        <w:widowControl w:val="1"/>
      </w:pPr>
      <w:r>
        <w:rPr>
          <w:rFonts w:ascii="Calibri" w:hAnsi="Calibri"/>
          <w:b w:val="0"/>
          <w:i w:val="0"/>
          <w:color w:val="0F172A"/>
          <w:sz w:val="22"/>
        </w:rPr>
        <w:t>Providers can already post on social media or their own sites at little direct cost. The platform must first demonstrate better applicant reach, screening organization, and traceability.</w:t>
      </w:r>
    </w:p>
    <w:p>
      <w:pPr>
        <w:numPr>
          <w:ilvl w:val="0"/>
          <w:numId w:val="90"/>
        </w:numPr>
        <w:spacing w:after="80" w:line="300" w:lineRule="auto"/>
        <w:widowControl w:val="1"/>
      </w:pPr>
      <w:r>
        <w:rPr>
          <w:rFonts w:ascii="Calibri" w:hAnsi="Calibri"/>
          <w:b w:val="0"/>
          <w:i w:val="0"/>
          <w:color w:val="0F172A"/>
          <w:sz w:val="22"/>
        </w:rPr>
        <w:t>Mandatory payment can create suspicion that paying providers receive better ranking or influence. Matching and publication decisions must remain independent of payment.</w:t>
      </w:r>
    </w:p>
    <w:p>
      <w:pPr>
        <w:numPr>
          <w:ilvl w:val="0"/>
          <w:numId w:val="90"/>
        </w:numPr>
        <w:spacing w:after="80" w:line="300" w:lineRule="auto"/>
        <w:widowControl w:val="1"/>
      </w:pPr>
      <w:r>
        <w:rPr>
          <w:rFonts w:ascii="Calibri" w:hAnsi="Calibri"/>
          <w:b w:val="0"/>
          <w:i w:val="0"/>
          <w:color w:val="0F172A"/>
          <w:sz w:val="22"/>
        </w:rPr>
        <w:t>A subscription could exclude exactly the smaller community providers that benefit most from shared infrastructure.</w:t>
      </w:r>
    </w:p>
    <w:p>
      <w:pPr>
        <w:pStyle w:val="Heading2"/>
        <w:widowControl w:val="1"/>
      </w:pPr>
      <w:r>
        <w:t>14.4 Why an institution should sponsor the platform</w:t>
      </w:r>
    </w:p>
    <w:p>
      <w:pPr>
        <w:numPr>
          <w:ilvl w:val="0"/>
          <w:numId w:val="90"/>
        </w:numPr>
        <w:spacing w:after="80" w:line="300" w:lineRule="auto"/>
        <w:widowControl w:val="1"/>
      </w:pPr>
      <w:r>
        <w:rPr>
          <w:rFonts w:ascii="Calibri" w:hAnsi="Calibri"/>
          <w:b w:val="0"/>
          <w:i w:val="0"/>
          <w:color w:val="0F172A"/>
          <w:sz w:val="22"/>
        </w:rPr>
        <w:t>Mission alignment: universities, schools, local governments, foundations, and corporate social responsibility programs commonly support educational access, youth development, research, or community extension.</w:t>
      </w:r>
    </w:p>
    <w:p>
      <w:pPr>
        <w:numPr>
          <w:ilvl w:val="0"/>
          <w:numId w:val="90"/>
        </w:numPr>
        <w:spacing w:after="80" w:line="300" w:lineRule="auto"/>
        <w:widowControl w:val="1"/>
      </w:pPr>
      <w:r>
        <w:rPr>
          <w:rFonts w:ascii="Calibri" w:hAnsi="Calibri"/>
          <w:b w:val="0"/>
          <w:i w:val="0"/>
          <w:color w:val="0F172A"/>
          <w:sz w:val="22"/>
        </w:rPr>
        <w:t>Shared infrastructure: one maintained platform can support many providers, reducing duplicated registration, document, notification, and review systems. The World Bank describes shared digital infrastructure as reducing duplication and enabling scale [9].</w:t>
      </w:r>
    </w:p>
    <w:p>
      <w:pPr>
        <w:numPr>
          <w:ilvl w:val="0"/>
          <w:numId w:val="90"/>
        </w:numPr>
        <w:spacing w:after="80" w:line="300" w:lineRule="auto"/>
        <w:widowControl w:val="1"/>
      </w:pPr>
      <w:r>
        <w:rPr>
          <w:rFonts w:ascii="Calibri" w:hAnsi="Calibri"/>
          <w:b w:val="0"/>
          <w:i w:val="0"/>
          <w:color w:val="0F172A"/>
          <w:sz w:val="22"/>
        </w:rPr>
        <w:t>Equity: subsidized core access allows small providers and underserved learners to participate rather than limiting the platform to organizations with software budgets.</w:t>
      </w:r>
    </w:p>
    <w:p>
      <w:pPr>
        <w:numPr>
          <w:ilvl w:val="0"/>
          <w:numId w:val="90"/>
        </w:numPr>
        <w:spacing w:after="80" w:line="300" w:lineRule="auto"/>
        <w:widowControl w:val="1"/>
      </w:pPr>
      <w:r>
        <w:rPr>
          <w:rFonts w:ascii="Calibri" w:hAnsi="Calibri"/>
          <w:b w:val="0"/>
          <w:i w:val="0"/>
          <w:color w:val="0F172A"/>
          <w:sz w:val="22"/>
        </w:rPr>
        <w:t>Measurable impact: the sponsor can receive aggregated, privacy-protected indicators such as verified providers, published programs, completed applications, awards, and underserved groups reached.</w:t>
      </w:r>
    </w:p>
    <w:p>
      <w:pPr>
        <w:numPr>
          <w:ilvl w:val="0"/>
          <w:numId w:val="90"/>
        </w:numPr>
        <w:spacing w:after="80" w:line="300" w:lineRule="auto"/>
        <w:widowControl w:val="1"/>
      </w:pPr>
      <w:r>
        <w:rPr>
          <w:rFonts w:ascii="Calibri" w:hAnsi="Calibri"/>
          <w:b w:val="0"/>
          <w:i w:val="0"/>
          <w:color w:val="0F172A"/>
          <w:sz w:val="22"/>
        </w:rPr>
        <w:t>Planning evidence: aggregated trends can reveal missing scholarship categories, common document barriers, geographic gaps, or demand that exceeds available slots.</w:t>
      </w:r>
    </w:p>
    <w:p>
      <w:pPr>
        <w:numPr>
          <w:ilvl w:val="0"/>
          <w:numId w:val="90"/>
        </w:numPr>
        <w:spacing w:after="80" w:line="300" w:lineRule="auto"/>
        <w:widowControl w:val="1"/>
      </w:pPr>
      <w:r>
        <w:rPr>
          <w:rFonts w:ascii="Calibri" w:hAnsi="Calibri"/>
          <w:b w:val="0"/>
          <w:i w:val="0"/>
          <w:color w:val="0F172A"/>
          <w:sz w:val="22"/>
        </w:rPr>
        <w:t>Reputation and partnership: appropriate recognition demonstrates long-term investment in education without giving the sponsor control over applicant data or provider decisions.</w:t>
      </w:r>
    </w:p>
    <w:p>
      <w:pPr>
        <w:numPr>
          <w:ilvl w:val="0"/>
          <w:numId w:val="90"/>
        </w:numPr>
        <w:spacing w:after="80" w:line="300" w:lineRule="auto"/>
        <w:widowControl w:val="1"/>
      </w:pPr>
      <w:r>
        <w:rPr>
          <w:rFonts w:ascii="Calibri" w:hAnsi="Calibri"/>
          <w:b w:val="0"/>
          <w:i w:val="0"/>
          <w:color w:val="0F172A"/>
          <w:sz w:val="22"/>
        </w:rPr>
        <w:t>Research and extension: a host institution can use the platform for supervised technical improvement and ethical, anonymized research subject to approval.</w:t>
      </w:r>
    </w:p>
    <w:p>
      <w:pPr>
        <w:numPr>
          <w:ilvl w:val="0"/>
          <w:numId w:val="90"/>
        </w:numPr>
        <w:spacing w:after="80" w:line="300" w:lineRule="auto"/>
        <w:widowControl w:val="1"/>
      </w:pPr>
      <w:r>
        <w:rPr>
          <w:rFonts w:ascii="Calibri" w:hAnsi="Calibri"/>
          <w:b w:val="0"/>
          <w:i w:val="0"/>
          <w:color w:val="0F172A"/>
          <w:sz w:val="22"/>
        </w:rPr>
        <w:t>Governance home: sponsorship identifies who is responsible for hosting, policies, privacy requests, incident response, continuity, and future ownership.</w:t>
      </w:r>
    </w:p>
    <w:p>
      <w:pPr>
        <w:pStyle w:val="CautionNote"/>
        <w:widowControl w:val="1"/>
      </w:pPr>
      <w:r>
        <w:rPr>
          <w:rFonts w:ascii="Calibri" w:hAnsi="Calibri"/>
          <w:b/>
          <w:i w:val="0"/>
          <w:color w:val="9B1C1C"/>
          <w:sz w:val="22"/>
        </w:rPr>
        <w:t xml:space="preserve">Sponsor boundary: </w:t>
      </w:r>
      <w:r>
        <w:rPr>
          <w:rFonts w:ascii="Calibri" w:hAnsi="Calibri"/>
          <w:b w:val="0"/>
          <w:i w:val="0"/>
          <w:color w:val="9B1C1C"/>
          <w:sz w:val="22"/>
        </w:rPr>
        <w:t>Sponsorship must not purchase access to personal applicant records, alter DSS scores, bypass program review, or influence scholarship decisions. Recognition and aggregated impact reporting are legitimate returns; private data and decision control are not.</w:t>
      </w:r>
    </w:p>
    <w:p>
      <w:pPr>
        <w:pStyle w:val="Heading2"/>
        <w:widowControl w:val="1"/>
      </w:pPr>
      <w:r>
        <w:t>14.5 Optional revenue that fits the mission</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3800"/>
        <w:gridCol w:w="3360"/>
      </w:tblGrid>
      <w:tr>
        <w:trPr>
          <w:tblHeader w:val="true"/>
        </w:trPr>
        <w:tc>
          <w:tcPr>
            <w:tcW w:type="dxa" w:w="2200"/>
            <w:vAlign w:val="center"/>
            <w:tcMar>
              <w:top w:w="90" w:type="dxa"/>
              <w:start w:w="120" w:type="dxa"/>
              <w:bottom w:w="90" w:type="dxa"/>
              <w:end w:w="120" w:type="dxa"/>
            </w:tcMar>
            <w:shd w:fill="E8EEF5"/>
          </w:tcPr>
          <w:p>
            <w:pPr>
              <w:spacing w:after="0"/>
            </w:pPr>
            <w:r>
              <w:rPr>
                <w:rFonts w:ascii="Calibri" w:hAnsi="Calibri"/>
                <w:b/>
                <w:i w:val="0"/>
                <w:color w:val="0F172A"/>
                <w:sz w:val="18"/>
              </w:rPr>
              <w:t>Funding source</w:t>
            </w:r>
          </w:p>
        </w:tc>
        <w:tc>
          <w:tcPr>
            <w:tcW w:type="dxa" w:w="3800"/>
            <w:vAlign w:val="center"/>
            <w:tcMar>
              <w:top w:w="90" w:type="dxa"/>
              <w:start w:w="120" w:type="dxa"/>
              <w:bottom w:w="90" w:type="dxa"/>
              <w:end w:w="120" w:type="dxa"/>
            </w:tcMar>
            <w:shd w:fill="E8EEF5"/>
          </w:tcPr>
          <w:p>
            <w:pPr>
              <w:spacing w:after="0"/>
            </w:pPr>
            <w:r>
              <w:rPr>
                <w:rFonts w:ascii="Calibri" w:hAnsi="Calibri"/>
                <w:b/>
                <w:i w:val="0"/>
                <w:color w:val="0F172A"/>
                <w:sz w:val="18"/>
              </w:rPr>
              <w:t>Suitable use</w:t>
            </w:r>
          </w:p>
        </w:tc>
        <w:tc>
          <w:tcPr>
            <w:tcW w:type="dxa" w:w="3360"/>
            <w:vAlign w:val="center"/>
            <w:tcMar>
              <w:top w:w="90" w:type="dxa"/>
              <w:start w:w="120" w:type="dxa"/>
              <w:bottom w:w="90" w:type="dxa"/>
              <w:end w:w="120" w:type="dxa"/>
            </w:tcMar>
            <w:shd w:fill="E8EEF5"/>
          </w:tcPr>
          <w:p>
            <w:pPr>
              <w:spacing w:after="0"/>
            </w:pPr>
            <w:r>
              <w:rPr>
                <w:rFonts w:ascii="Calibri" w:hAnsi="Calibri"/>
                <w:b/>
                <w:i w:val="0"/>
                <w:color w:val="0F172A"/>
                <w:sz w:val="18"/>
              </w:rPr>
              <w:t>Safeguard</w:t>
            </w:r>
          </w:p>
        </w:tc>
      </w:tr>
      <w:tr>
        <w:tc>
          <w:tcPr>
            <w:tcW w:type="dxa" w:w="2200"/>
          </w:tcPr>
          <w:p>
            <w:pPr>
              <w:spacing w:after="0" w:line="264" w:lineRule="auto"/>
            </w:pPr>
            <w:r>
              <w:rPr>
                <w:rFonts w:ascii="Calibri" w:hAnsi="Calibri"/>
                <w:b w:val="0"/>
                <w:i w:val="0"/>
                <w:color w:val="0F172A"/>
                <w:sz w:val="18"/>
              </w:rPr>
              <w:t>Host institution budget</w:t>
            </w:r>
          </w:p>
        </w:tc>
        <w:tc>
          <w:tcPr>
            <w:tcW w:type="dxa" w:w="3800"/>
          </w:tcPr>
          <w:p>
            <w:pPr>
              <w:spacing w:after="0" w:line="264" w:lineRule="auto"/>
            </w:pPr>
            <w:r>
              <w:rPr>
                <w:rFonts w:ascii="Calibri" w:hAnsi="Calibri"/>
                <w:b w:val="0"/>
                <w:i w:val="0"/>
                <w:color w:val="0F172A"/>
                <w:sz w:val="18"/>
              </w:rPr>
              <w:t>Core hosting, domain, backups, support, security, and governance.</w:t>
            </w:r>
          </w:p>
        </w:tc>
        <w:tc>
          <w:tcPr>
            <w:tcW w:type="dxa" w:w="3360"/>
          </w:tcPr>
          <w:p>
            <w:pPr>
              <w:spacing w:after="0" w:line="264" w:lineRule="auto"/>
            </w:pPr>
            <w:r>
              <w:rPr>
                <w:rFonts w:ascii="Calibri" w:hAnsi="Calibri"/>
                <w:b w:val="0"/>
                <w:i w:val="0"/>
                <w:color w:val="0F172A"/>
                <w:sz w:val="18"/>
              </w:rPr>
              <w:t>Formal owner, annual budget, and service responsibility.</w:t>
            </w:r>
          </w:p>
        </w:tc>
      </w:tr>
      <w:tr>
        <w:tc>
          <w:tcPr>
            <w:tcW w:type="dxa" w:w="2200"/>
          </w:tcPr>
          <w:p>
            <w:pPr>
              <w:spacing w:after="0" w:line="264" w:lineRule="auto"/>
            </w:pPr>
            <w:r>
              <w:rPr>
                <w:rFonts w:ascii="Calibri" w:hAnsi="Calibri"/>
                <w:b w:val="0"/>
                <w:i w:val="0"/>
                <w:color w:val="0F172A"/>
                <w:sz w:val="18"/>
              </w:rPr>
              <w:t>Government/research grants</w:t>
            </w:r>
          </w:p>
        </w:tc>
        <w:tc>
          <w:tcPr>
            <w:tcW w:type="dxa" w:w="3800"/>
          </w:tcPr>
          <w:p>
            <w:pPr>
              <w:spacing w:after="0" w:line="264" w:lineRule="auto"/>
            </w:pPr>
            <w:r>
              <w:rPr>
                <w:rFonts w:ascii="Calibri" w:hAnsi="Calibri"/>
                <w:b w:val="0"/>
                <w:i w:val="0"/>
                <w:color w:val="0F172A"/>
                <w:sz w:val="18"/>
              </w:rPr>
              <w:t>Pilot expansion, accessibility, integration, evaluation, and training.</w:t>
            </w:r>
          </w:p>
        </w:tc>
        <w:tc>
          <w:tcPr>
            <w:tcW w:type="dxa" w:w="3360"/>
          </w:tcPr>
          <w:p>
            <w:pPr>
              <w:spacing w:after="0" w:line="264" w:lineRule="auto"/>
            </w:pPr>
            <w:r>
              <w:rPr>
                <w:rFonts w:ascii="Calibri" w:hAnsi="Calibri"/>
                <w:b w:val="0"/>
                <w:i w:val="0"/>
                <w:color w:val="0F172A"/>
                <w:sz w:val="18"/>
              </w:rPr>
              <w:t>Time-bound deliverables and transition plan after the grant.</w:t>
            </w:r>
          </w:p>
        </w:tc>
      </w:tr>
      <w:tr>
        <w:tc>
          <w:tcPr>
            <w:tcW w:type="dxa" w:w="2200"/>
          </w:tcPr>
          <w:p>
            <w:pPr>
              <w:spacing w:after="0" w:line="264" w:lineRule="auto"/>
            </w:pPr>
            <w:r>
              <w:rPr>
                <w:rFonts w:ascii="Calibri" w:hAnsi="Calibri"/>
                <w:b w:val="0"/>
                <w:i w:val="0"/>
                <w:color w:val="0F172A"/>
                <w:sz w:val="18"/>
              </w:rPr>
              <w:t>CSR or foundation sponsorship</w:t>
            </w:r>
          </w:p>
        </w:tc>
        <w:tc>
          <w:tcPr>
            <w:tcW w:type="dxa" w:w="3800"/>
          </w:tcPr>
          <w:p>
            <w:pPr>
              <w:spacing w:after="0" w:line="264" w:lineRule="auto"/>
            </w:pPr>
            <w:r>
              <w:rPr>
                <w:rFonts w:ascii="Calibri" w:hAnsi="Calibri"/>
                <w:b w:val="0"/>
                <w:i w:val="0"/>
                <w:color w:val="0F172A"/>
                <w:sz w:val="18"/>
              </w:rPr>
              <w:t>Applicant support, provider onboarding, outreach, and underserved-area expansion.</w:t>
            </w:r>
          </w:p>
        </w:tc>
        <w:tc>
          <w:tcPr>
            <w:tcW w:type="dxa" w:w="3360"/>
          </w:tcPr>
          <w:p>
            <w:pPr>
              <w:spacing w:after="0" w:line="264" w:lineRule="auto"/>
            </w:pPr>
            <w:r>
              <w:rPr>
                <w:rFonts w:ascii="Calibri" w:hAnsi="Calibri"/>
                <w:b w:val="0"/>
                <w:i w:val="0"/>
                <w:color w:val="0F172A"/>
                <w:sz w:val="18"/>
              </w:rPr>
              <w:t>No access to personal data or ranking influence.</w:t>
            </w:r>
          </w:p>
        </w:tc>
      </w:tr>
      <w:tr>
        <w:tc>
          <w:tcPr>
            <w:tcW w:type="dxa" w:w="2200"/>
          </w:tcPr>
          <w:p>
            <w:pPr>
              <w:spacing w:after="0" w:line="264" w:lineRule="auto"/>
            </w:pPr>
            <w:r>
              <w:rPr>
                <w:rFonts w:ascii="Calibri" w:hAnsi="Calibri"/>
                <w:b w:val="0"/>
                <w:i w:val="0"/>
                <w:color w:val="0F172A"/>
                <w:sz w:val="18"/>
              </w:rPr>
              <w:t>Optional provider services</w:t>
            </w:r>
          </w:p>
        </w:tc>
        <w:tc>
          <w:tcPr>
            <w:tcW w:type="dxa" w:w="3800"/>
          </w:tcPr>
          <w:p>
            <w:pPr>
              <w:spacing w:after="0" w:line="264" w:lineRule="auto"/>
            </w:pPr>
            <w:r>
              <w:rPr>
                <w:rFonts w:ascii="Calibri" w:hAnsi="Calibri"/>
                <w:b w:val="0"/>
                <w:i w:val="0"/>
                <w:color w:val="0F172A"/>
                <w:sz w:val="18"/>
              </w:rPr>
              <w:t>Assisted onboarding, data migration, custom workflow, integration, training, or dedicated support.</w:t>
            </w:r>
          </w:p>
        </w:tc>
        <w:tc>
          <w:tcPr>
            <w:tcW w:type="dxa" w:w="3360"/>
          </w:tcPr>
          <w:p>
            <w:pPr>
              <w:spacing w:after="0" w:line="264" w:lineRule="auto"/>
            </w:pPr>
            <w:r>
              <w:rPr>
                <w:rFonts w:ascii="Calibri" w:hAnsi="Calibri"/>
                <w:b w:val="0"/>
                <w:i w:val="0"/>
                <w:color w:val="0F172A"/>
                <w:sz w:val="18"/>
              </w:rPr>
              <w:t>Core posting and review remain available; clear one-time scope.</w:t>
            </w:r>
          </w:p>
        </w:tc>
      </w:tr>
      <w:tr>
        <w:tc>
          <w:tcPr>
            <w:tcW w:type="dxa" w:w="2200"/>
          </w:tcPr>
          <w:p>
            <w:pPr>
              <w:spacing w:after="0" w:line="264" w:lineRule="auto"/>
            </w:pPr>
            <w:r>
              <w:rPr>
                <w:rFonts w:ascii="Calibri" w:hAnsi="Calibri"/>
                <w:b w:val="0"/>
                <w:i w:val="0"/>
                <w:color w:val="0F172A"/>
                <w:sz w:val="18"/>
              </w:rPr>
              <w:t>Clearly labeled promotion</w:t>
            </w:r>
          </w:p>
        </w:tc>
        <w:tc>
          <w:tcPr>
            <w:tcW w:type="dxa" w:w="3800"/>
          </w:tcPr>
          <w:p>
            <w:pPr>
              <w:spacing w:after="0" w:line="264" w:lineRule="auto"/>
            </w:pPr>
            <w:r>
              <w:rPr>
                <w:rFonts w:ascii="Calibri" w:hAnsi="Calibri"/>
                <w:b w:val="0"/>
                <w:i w:val="0"/>
                <w:color w:val="0F172A"/>
                <w:sz w:val="18"/>
              </w:rPr>
              <w:t>Optional visibility placement that does not change eligibility matching.</w:t>
            </w:r>
          </w:p>
        </w:tc>
        <w:tc>
          <w:tcPr>
            <w:tcW w:type="dxa" w:w="3360"/>
          </w:tcPr>
          <w:p>
            <w:pPr>
              <w:spacing w:after="0" w:line="264" w:lineRule="auto"/>
            </w:pPr>
            <w:r>
              <w:rPr>
                <w:rFonts w:ascii="Calibri" w:hAnsi="Calibri"/>
                <w:b w:val="0"/>
                <w:i w:val="0"/>
                <w:color w:val="0F172A"/>
                <w:sz w:val="18"/>
              </w:rPr>
              <w:t>Separate sponsored placement from recommendation score.</w:t>
            </w:r>
          </w:p>
        </w:tc>
      </w:tr>
      <w:tr>
        <w:tc>
          <w:tcPr>
            <w:tcW w:type="dxa" w:w="2200"/>
          </w:tcPr>
          <w:p>
            <w:pPr>
              <w:spacing w:after="0" w:line="264" w:lineRule="auto"/>
            </w:pPr>
            <w:r>
              <w:rPr>
                <w:rFonts w:ascii="Calibri" w:hAnsi="Calibri"/>
                <w:b w:val="0"/>
                <w:i w:val="0"/>
                <w:color w:val="0F172A"/>
                <w:sz w:val="18"/>
              </w:rPr>
              <w:t>Donations</w:t>
            </w:r>
          </w:p>
        </w:tc>
        <w:tc>
          <w:tcPr>
            <w:tcW w:type="dxa" w:w="3800"/>
          </w:tcPr>
          <w:p>
            <w:pPr>
              <w:spacing w:after="0" w:line="264" w:lineRule="auto"/>
            </w:pPr>
            <w:r>
              <w:rPr>
                <w:rFonts w:ascii="Calibri" w:hAnsi="Calibri"/>
                <w:b w:val="0"/>
                <w:i w:val="0"/>
                <w:color w:val="0F172A"/>
                <w:sz w:val="18"/>
              </w:rPr>
              <w:t>General operating support and learner assistance.</w:t>
            </w:r>
          </w:p>
        </w:tc>
        <w:tc>
          <w:tcPr>
            <w:tcW w:type="dxa" w:w="3360"/>
          </w:tcPr>
          <w:p>
            <w:pPr>
              <w:spacing w:after="0" w:line="264" w:lineRule="auto"/>
            </w:pPr>
            <w:r>
              <w:rPr>
                <w:rFonts w:ascii="Calibri" w:hAnsi="Calibri"/>
                <w:b w:val="0"/>
                <w:i w:val="0"/>
                <w:color w:val="0F172A"/>
                <w:sz w:val="18"/>
              </w:rPr>
              <w:t>Transparent accounting and no donor control over decisions.</w:t>
            </w:r>
          </w:p>
        </w:tc>
      </w:tr>
    </w:tbl>
    <w:p>
      <w:pPr>
        <w:spacing w:after="0"/>
        <w:widowControl w:val="1"/>
      </w:pPr>
    </w:p>
    <w:p>
      <w:pPr>
        <w:pStyle w:val="Heading2"/>
        <w:widowControl w:val="1"/>
      </w:pPr>
      <w:r>
        <w:t>14.6 Why convenience fees require caution</w:t>
      </w:r>
    </w:p>
    <w:p>
      <w:pPr>
        <w:keepLines w:val="0"/>
        <w:widowControl w:val="1"/>
      </w:pPr>
      <w:r>
        <w:rPr>
          <w:rFonts w:ascii="Calibri" w:hAnsi="Calibri"/>
          <w:b w:val="0"/>
          <w:i w:val="0"/>
          <w:color w:val="0F172A"/>
          <w:sz w:val="22"/>
        </w:rPr>
        <w:t>Applicants should not pay to discover or apply for scholarships. A convenience fee contradicts the access mission when it becomes a condition of application. If any transaction fee is introduced, it should apply only to an optional provider-purchased service, be disclosed before payment, reflect a real cost, and never affect ranking or award decisions.</w:t>
      </w:r>
    </w:p>
    <w:p>
      <w:pPr>
        <w:pStyle w:val="Heading2"/>
        <w:widowControl w:val="1"/>
      </w:pPr>
      <w:r>
        <w:t>14.7 Phased sustainability plan</w:t>
      </w:r>
    </w:p>
    <w:p>
      <w:pPr>
        <w:numPr>
          <w:ilvl w:val="0"/>
          <w:numId w:val="91"/>
        </w:numPr>
        <w:spacing w:after="80" w:line="300" w:lineRule="auto"/>
        <w:widowControl w:val="1"/>
      </w:pPr>
      <w:r>
        <w:rPr>
          <w:rFonts w:ascii="Calibri" w:hAnsi="Calibri"/>
          <w:b w:val="0"/>
          <w:i w:val="0"/>
          <w:color w:val="0F172A"/>
          <w:sz w:val="22"/>
        </w:rPr>
        <w:t>Phase 1 - Capstone and controlled demonstration: local/test hosting, demo data, documented processes, and security review.</w:t>
      </w:r>
    </w:p>
    <w:p>
      <w:pPr>
        <w:numPr>
          <w:ilvl w:val="0"/>
          <w:numId w:val="91"/>
        </w:numPr>
        <w:spacing w:after="80" w:line="300" w:lineRule="auto"/>
        <w:widowControl w:val="1"/>
      </w:pPr>
      <w:r>
        <w:rPr>
          <w:rFonts w:ascii="Calibri" w:hAnsi="Calibri"/>
          <w:b w:val="0"/>
          <w:i w:val="0"/>
          <w:color w:val="0F172A"/>
          <w:sz w:val="22"/>
        </w:rPr>
        <w:t>Phase 2 - Institutional pilot: named host, privacy and incident policies, selected providers, user support, backups, monitoring, and measured outcomes.</w:t>
      </w:r>
    </w:p>
    <w:p>
      <w:pPr>
        <w:numPr>
          <w:ilvl w:val="0"/>
          <w:numId w:val="91"/>
        </w:numPr>
        <w:spacing w:after="80" w:line="300" w:lineRule="auto"/>
        <w:widowControl w:val="1"/>
      </w:pPr>
      <w:r>
        <w:rPr>
          <w:rFonts w:ascii="Calibri" w:hAnsi="Calibri"/>
          <w:b w:val="0"/>
          <w:i w:val="0"/>
          <w:color w:val="0F172A"/>
          <w:sz w:val="22"/>
        </w:rPr>
        <w:t>Phase 3 - Managed expansion: additional schools/providers, service-level expectations, accessibility testing, mobile parity, and transparent impact reports.</w:t>
      </w:r>
    </w:p>
    <w:p>
      <w:pPr>
        <w:numPr>
          <w:ilvl w:val="0"/>
          <w:numId w:val="91"/>
        </w:numPr>
        <w:spacing w:after="80" w:line="300" w:lineRule="auto"/>
        <w:widowControl w:val="1"/>
      </w:pPr>
      <w:r>
        <w:rPr>
          <w:rFonts w:ascii="Calibri" w:hAnsi="Calibri"/>
          <w:b w:val="0"/>
          <w:i w:val="0"/>
          <w:color w:val="0F172A"/>
          <w:sz w:val="22"/>
        </w:rPr>
        <w:t>Phase 4 - Interoperability and long-term funding: optional integrations, external audits, grant/CSR partnerships, and a mixed funding portfolio rather than one sponsor dependency.</w:t>
      </w:r>
    </w:p>
    <w:p>
      <w:pPr>
        <w:pStyle w:val="Heading2"/>
        <w:widowControl w:val="1"/>
      </w:pPr>
      <w:r>
        <w:t>14.8 Costs that must be covered</w:t>
      </w:r>
    </w:p>
    <w:p>
      <w:pPr>
        <w:numPr>
          <w:ilvl w:val="0"/>
          <w:numId w:val="90"/>
        </w:numPr>
        <w:spacing w:after="80" w:line="300" w:lineRule="auto"/>
        <w:widowControl w:val="1"/>
      </w:pPr>
      <w:r>
        <w:rPr>
          <w:rFonts w:ascii="Calibri" w:hAnsi="Calibri"/>
          <w:b w:val="0"/>
          <w:i w:val="0"/>
          <w:color w:val="0F172A"/>
          <w:sz w:val="22"/>
        </w:rPr>
        <w:t>Domain, hosting, storage, database, backups, and disaster recovery.</w:t>
      </w:r>
    </w:p>
    <w:p>
      <w:pPr>
        <w:numPr>
          <w:ilvl w:val="0"/>
          <w:numId w:val="90"/>
        </w:numPr>
        <w:spacing w:after="80" w:line="300" w:lineRule="auto"/>
        <w:widowControl w:val="1"/>
      </w:pPr>
      <w:r>
        <w:rPr>
          <w:rFonts w:ascii="Calibri" w:hAnsi="Calibri"/>
          <w:b w:val="0"/>
          <w:i w:val="0"/>
          <w:color w:val="0F172A"/>
          <w:sz w:val="22"/>
        </w:rPr>
        <w:t>Email delivery, maps/geocoding, monitoring, security tools, and optional payment integration.</w:t>
      </w:r>
    </w:p>
    <w:p>
      <w:pPr>
        <w:numPr>
          <w:ilvl w:val="0"/>
          <w:numId w:val="90"/>
        </w:numPr>
        <w:spacing w:after="80" w:line="300" w:lineRule="auto"/>
        <w:widowControl w:val="1"/>
      </w:pPr>
      <w:r>
        <w:rPr>
          <w:rFonts w:ascii="Calibri" w:hAnsi="Calibri"/>
          <w:b w:val="0"/>
          <w:i w:val="0"/>
          <w:color w:val="0F172A"/>
          <w:sz w:val="22"/>
        </w:rPr>
        <w:t>Technical maintenance, dependency updates, testing, bug fixes, and mobile releases.</w:t>
      </w:r>
    </w:p>
    <w:p>
      <w:pPr>
        <w:numPr>
          <w:ilvl w:val="0"/>
          <w:numId w:val="90"/>
        </w:numPr>
        <w:spacing w:after="80" w:line="300" w:lineRule="auto"/>
        <w:widowControl w:val="1"/>
      </w:pPr>
      <w:r>
        <w:rPr>
          <w:rFonts w:ascii="Calibri" w:hAnsi="Calibri"/>
          <w:b w:val="0"/>
          <w:i w:val="0"/>
          <w:color w:val="0F172A"/>
          <w:sz w:val="22"/>
        </w:rPr>
        <w:t>User support, provider onboarding, privacy requests, moderation, and incident response.</w:t>
      </w:r>
    </w:p>
    <w:p>
      <w:pPr>
        <w:numPr>
          <w:ilvl w:val="0"/>
          <w:numId w:val="90"/>
        </w:numPr>
        <w:spacing w:after="80" w:line="300" w:lineRule="auto"/>
        <w:widowControl w:val="1"/>
      </w:pPr>
      <w:r>
        <w:rPr>
          <w:rFonts w:ascii="Calibri" w:hAnsi="Calibri"/>
          <w:b w:val="0"/>
          <w:i w:val="0"/>
          <w:color w:val="0F172A"/>
          <w:sz w:val="22"/>
        </w:rPr>
        <w:t>Accessibility, policy review, documentation, evaluation, and staff succession.</w:t>
      </w:r>
    </w:p>
    <w:p>
      <w:pPr>
        <w:pStyle w:val="Heading2"/>
        <w:widowControl w:val="1"/>
      </w:pPr>
      <w:r>
        <w:t>14.9 Sustainability indicators</w:t>
      </w:r>
    </w:p>
    <w:p>
      <w:pPr>
        <w:numPr>
          <w:ilvl w:val="0"/>
          <w:numId w:val="90"/>
        </w:numPr>
        <w:spacing w:after="80" w:line="300" w:lineRule="auto"/>
        <w:widowControl w:val="1"/>
      </w:pPr>
      <w:r>
        <w:rPr>
          <w:rFonts w:ascii="Calibri" w:hAnsi="Calibri"/>
          <w:b w:val="0"/>
          <w:i w:val="0"/>
          <w:color w:val="0F172A"/>
          <w:sz w:val="22"/>
        </w:rPr>
        <w:t>Service uptime, backup success, unresolved incidents, and average support response time.</w:t>
      </w:r>
    </w:p>
    <w:p>
      <w:pPr>
        <w:numPr>
          <w:ilvl w:val="0"/>
          <w:numId w:val="90"/>
        </w:numPr>
        <w:spacing w:after="80" w:line="300" w:lineRule="auto"/>
        <w:widowControl w:val="1"/>
      </w:pPr>
      <w:r>
        <w:rPr>
          <w:rFonts w:ascii="Calibri" w:hAnsi="Calibri"/>
          <w:b w:val="0"/>
          <w:i w:val="0"/>
          <w:color w:val="0F172A"/>
          <w:sz w:val="22"/>
        </w:rPr>
        <w:t>Verified providers, published programs, active applicants, completed applications, and awards recorded.</w:t>
      </w:r>
    </w:p>
    <w:p>
      <w:pPr>
        <w:numPr>
          <w:ilvl w:val="0"/>
          <w:numId w:val="90"/>
        </w:numPr>
        <w:spacing w:after="80" w:line="300" w:lineRule="auto"/>
        <w:widowControl w:val="1"/>
      </w:pPr>
      <w:r>
        <w:rPr>
          <w:rFonts w:ascii="Calibri" w:hAnsi="Calibri"/>
          <w:b w:val="0"/>
          <w:i w:val="0"/>
          <w:color w:val="0F172A"/>
          <w:sz w:val="22"/>
        </w:rPr>
        <w:t>Application completion rate, missing-document rate, provider review time, and stage drop-off.</w:t>
      </w:r>
    </w:p>
    <w:p>
      <w:pPr>
        <w:numPr>
          <w:ilvl w:val="0"/>
          <w:numId w:val="90"/>
        </w:numPr>
        <w:spacing w:after="80" w:line="300" w:lineRule="auto"/>
        <w:widowControl w:val="1"/>
      </w:pPr>
      <w:r>
        <w:rPr>
          <w:rFonts w:ascii="Calibri" w:hAnsi="Calibri"/>
          <w:b w:val="0"/>
          <w:i w:val="0"/>
          <w:color w:val="0F172A"/>
          <w:sz w:val="22"/>
        </w:rPr>
        <w:t>Provider retention and repeat posting without forcing subscription payments.</w:t>
      </w:r>
    </w:p>
    <w:p>
      <w:pPr>
        <w:numPr>
          <w:ilvl w:val="0"/>
          <w:numId w:val="90"/>
        </w:numPr>
        <w:spacing w:after="80" w:line="300" w:lineRule="auto"/>
        <w:widowControl w:val="1"/>
      </w:pPr>
      <w:r>
        <w:rPr>
          <w:rFonts w:ascii="Calibri" w:hAnsi="Calibri"/>
          <w:b w:val="0"/>
          <w:i w:val="0"/>
          <w:color w:val="0F172A"/>
          <w:sz w:val="22"/>
        </w:rPr>
        <w:t>Applicant and provider satisfaction, privacy requests handled, and accessibility issues resolved.</w:t>
      </w:r>
    </w:p>
    <w:p>
      <w:pPr>
        <w:numPr>
          <w:ilvl w:val="0"/>
          <w:numId w:val="90"/>
        </w:numPr>
        <w:spacing w:after="80" w:line="300" w:lineRule="auto"/>
        <w:widowControl w:val="1"/>
      </w:pPr>
      <w:r>
        <w:rPr>
          <w:rFonts w:ascii="Calibri" w:hAnsi="Calibri"/>
          <w:b w:val="0"/>
          <w:i w:val="0"/>
          <w:color w:val="0F172A"/>
          <w:sz w:val="22"/>
        </w:rPr>
        <w:t>Share of operating cost covered by committed institutional funds versus uncertain one-time grants.</w:t>
      </w:r>
    </w:p>
    <w:p>
      <w:pPr>
        <w:pStyle w:val="Heading1"/>
        <w:widowControl w:val="1"/>
      </w:pPr>
      <w:r>
        <w:t>15. Limitations and Future Improvements</w:t>
      </w:r>
    </w:p>
    <w:p>
      <w:pPr>
        <w:pStyle w:val="Heading2"/>
        <w:widowControl w:val="1"/>
      </w:pPr>
      <w:r>
        <w:t>15.1 Current limitations to state honestly</w:t>
      </w:r>
    </w:p>
    <w:p>
      <w:pPr>
        <w:numPr>
          <w:ilvl w:val="0"/>
          <w:numId w:val="90"/>
        </w:numPr>
        <w:spacing w:after="80" w:line="300" w:lineRule="auto"/>
        <w:widowControl w:val="1"/>
      </w:pPr>
      <w:r>
        <w:rPr>
          <w:rFonts w:ascii="Calibri" w:hAnsi="Calibri"/>
          <w:b w:val="0"/>
          <w:i w:val="0"/>
          <w:color w:val="0F172A"/>
          <w:sz w:val="22"/>
        </w:rPr>
        <w:t>The platform provides eligibility guidance, not guaranteed eligibility or award decisions.</w:t>
      </w:r>
    </w:p>
    <w:p>
      <w:pPr>
        <w:numPr>
          <w:ilvl w:val="0"/>
          <w:numId w:val="90"/>
        </w:numPr>
        <w:spacing w:after="80" w:line="300" w:lineRule="auto"/>
        <w:widowControl w:val="1"/>
      </w:pPr>
      <w:r>
        <w:rPr>
          <w:rFonts w:ascii="Calibri" w:hAnsi="Calibri"/>
          <w:b w:val="0"/>
          <w:i w:val="0"/>
          <w:color w:val="0F172A"/>
          <w:sz w:val="22"/>
        </w:rPr>
        <w:t>Applicant and provider proofs still require human verification.</w:t>
      </w:r>
    </w:p>
    <w:p>
      <w:pPr>
        <w:numPr>
          <w:ilvl w:val="0"/>
          <w:numId w:val="90"/>
        </w:numPr>
        <w:spacing w:after="80" w:line="300" w:lineRule="auto"/>
        <w:widowControl w:val="1"/>
      </w:pPr>
      <w:r>
        <w:rPr>
          <w:rFonts w:ascii="Calibri" w:hAnsi="Calibri"/>
          <w:b w:val="0"/>
          <w:i w:val="0"/>
          <w:color w:val="0F172A"/>
          <w:sz w:val="22"/>
        </w:rPr>
        <w:t>Exams and interviews are announced and tracked but conducted outside the portal.</w:t>
      </w:r>
    </w:p>
    <w:p>
      <w:pPr>
        <w:numPr>
          <w:ilvl w:val="0"/>
          <w:numId w:val="90"/>
        </w:numPr>
        <w:spacing w:after="80" w:line="300" w:lineRule="auto"/>
        <w:widowControl w:val="1"/>
      </w:pPr>
      <w:r>
        <w:rPr>
          <w:rFonts w:ascii="Calibri" w:hAnsi="Calibri"/>
          <w:b w:val="0"/>
          <w:i w:val="0"/>
          <w:color w:val="0F172A"/>
          <w:sz w:val="22"/>
        </w:rPr>
        <w:t>Maps, email, and PayMongo require internet access and valid external configuration.</w:t>
      </w:r>
    </w:p>
    <w:p>
      <w:pPr>
        <w:numPr>
          <w:ilvl w:val="0"/>
          <w:numId w:val="90"/>
        </w:numPr>
        <w:spacing w:after="80" w:line="300" w:lineRule="auto"/>
        <w:widowControl w:val="1"/>
      </w:pPr>
      <w:r>
        <w:rPr>
          <w:rFonts w:ascii="Calibri" w:hAnsi="Calibri"/>
          <w:b w:val="0"/>
          <w:i w:val="0"/>
          <w:color w:val="0F172A"/>
          <w:sz w:val="22"/>
        </w:rPr>
        <w:t>The current retention and deletion process needs a finalized institutional policy before public deployment.</w:t>
      </w:r>
    </w:p>
    <w:p>
      <w:pPr>
        <w:numPr>
          <w:ilvl w:val="0"/>
          <w:numId w:val="90"/>
        </w:numPr>
        <w:spacing w:after="80" w:line="300" w:lineRule="auto"/>
        <w:widowControl w:val="1"/>
      </w:pPr>
      <w:r>
        <w:rPr>
          <w:rFonts w:ascii="Calibri" w:hAnsi="Calibri"/>
          <w:b w:val="0"/>
          <w:i w:val="0"/>
          <w:color w:val="0F172A"/>
          <w:sz w:val="22"/>
        </w:rPr>
        <w:t>A production deployment requires security testing, backups, monitoring, legal/policy review, and a named data controller or host institution.</w:t>
      </w:r>
    </w:p>
    <w:p>
      <w:pPr>
        <w:numPr>
          <w:ilvl w:val="0"/>
          <w:numId w:val="90"/>
        </w:numPr>
        <w:spacing w:after="80" w:line="300" w:lineRule="auto"/>
        <w:widowControl w:val="1"/>
      </w:pPr>
      <w:r>
        <w:rPr>
          <w:rFonts w:ascii="Calibri" w:hAnsi="Calibri"/>
          <w:b w:val="0"/>
          <w:i w:val="0"/>
          <w:color w:val="0F172A"/>
          <w:sz w:val="22"/>
        </w:rPr>
        <w:t>The mobile application should continue to be checked for parity after web workflow changes.</w:t>
      </w:r>
    </w:p>
    <w:p>
      <w:pPr>
        <w:pStyle w:val="Heading2"/>
        <w:widowControl w:val="1"/>
      </w:pPr>
      <w:r>
        <w:t>15.2 Priority improvements</w:t>
      </w:r>
    </w:p>
    <w:p>
      <w:pPr>
        <w:numPr>
          <w:ilvl w:val="0"/>
          <w:numId w:val="90"/>
        </w:numPr>
        <w:spacing w:after="80" w:line="300" w:lineRule="auto"/>
        <w:widowControl w:val="1"/>
      </w:pPr>
      <w:r>
        <w:rPr>
          <w:rFonts w:ascii="Calibri" w:hAnsi="Calibri"/>
          <w:b w:val="0"/>
          <w:i w:val="0"/>
          <w:color w:val="0F172A"/>
          <w:sz w:val="22"/>
        </w:rPr>
        <w:t>Finalize privacy notice, retention schedule, data-sharing rules, incident response, and guardian policy.</w:t>
      </w:r>
    </w:p>
    <w:p>
      <w:pPr>
        <w:numPr>
          <w:ilvl w:val="0"/>
          <w:numId w:val="90"/>
        </w:numPr>
        <w:spacing w:after="80" w:line="300" w:lineRule="auto"/>
        <w:widowControl w:val="1"/>
      </w:pPr>
      <w:r>
        <w:rPr>
          <w:rFonts w:ascii="Calibri" w:hAnsi="Calibri"/>
          <w:b w:val="0"/>
          <w:i w:val="0"/>
          <w:color w:val="0F172A"/>
          <w:sz w:val="22"/>
        </w:rPr>
        <w:t>Complete automated authorization, lifecycle, and notification tests for all roles.</w:t>
      </w:r>
    </w:p>
    <w:p>
      <w:pPr>
        <w:numPr>
          <w:ilvl w:val="0"/>
          <w:numId w:val="90"/>
        </w:numPr>
        <w:spacing w:after="80" w:line="300" w:lineRule="auto"/>
        <w:widowControl w:val="1"/>
      </w:pPr>
      <w:r>
        <w:rPr>
          <w:rFonts w:ascii="Calibri" w:hAnsi="Calibri"/>
          <w:b w:val="0"/>
          <w:i w:val="0"/>
          <w:color w:val="0F172A"/>
          <w:sz w:val="22"/>
        </w:rPr>
        <w:t>Add accessibility testing and low-bandwidth optimization.</w:t>
      </w:r>
    </w:p>
    <w:p>
      <w:pPr>
        <w:numPr>
          <w:ilvl w:val="0"/>
          <w:numId w:val="90"/>
        </w:numPr>
        <w:spacing w:after="80" w:line="300" w:lineRule="auto"/>
        <w:widowControl w:val="1"/>
      </w:pPr>
      <w:r>
        <w:rPr>
          <w:rFonts w:ascii="Calibri" w:hAnsi="Calibri"/>
          <w:b w:val="0"/>
          <w:i w:val="0"/>
          <w:color w:val="0F172A"/>
          <w:sz w:val="22"/>
        </w:rPr>
        <w:t>Create provider onboarding and a controlled pilot with measurable success criteria.</w:t>
      </w:r>
    </w:p>
    <w:p>
      <w:pPr>
        <w:numPr>
          <w:ilvl w:val="0"/>
          <w:numId w:val="90"/>
        </w:numPr>
        <w:spacing w:after="80" w:line="300" w:lineRule="auto"/>
        <w:widowControl w:val="1"/>
      </w:pPr>
      <w:r>
        <w:rPr>
          <w:rFonts w:ascii="Calibri" w:hAnsi="Calibri"/>
          <w:b w:val="0"/>
          <w:i w:val="0"/>
          <w:color w:val="0F172A"/>
          <w:sz w:val="22"/>
        </w:rPr>
        <w:t>Add privacy-protected operational dashboards only after data quality and governance are stable.</w:t>
      </w:r>
    </w:p>
    <w:p>
      <w:pPr>
        <w:numPr>
          <w:ilvl w:val="0"/>
          <w:numId w:val="90"/>
        </w:numPr>
        <w:spacing w:after="80" w:line="300" w:lineRule="auto"/>
        <w:widowControl w:val="1"/>
      </w:pPr>
      <w:r>
        <w:rPr>
          <w:rFonts w:ascii="Calibri" w:hAnsi="Calibri"/>
          <w:b w:val="0"/>
          <w:i w:val="0"/>
          <w:color w:val="0F172A"/>
          <w:sz w:val="22"/>
        </w:rPr>
        <w:t>Add secure integrations or APIs for mobile and partner systems using versioned access controls.</w:t>
      </w:r>
    </w:p>
    <w:p>
      <w:pPr>
        <w:numPr>
          <w:ilvl w:val="0"/>
          <w:numId w:val="90"/>
        </w:numPr>
        <w:spacing w:after="80" w:line="300" w:lineRule="auto"/>
        <w:widowControl w:val="1"/>
      </w:pPr>
      <w:r>
        <w:rPr>
          <w:rFonts w:ascii="Calibri" w:hAnsi="Calibri"/>
          <w:b w:val="0"/>
          <w:i w:val="0"/>
          <w:color w:val="0F172A"/>
          <w:sz w:val="22"/>
        </w:rPr>
        <w:t>Evaluate DSS fairness and false-match rates using representative, consented test cases.</w:t>
      </w:r>
    </w:p>
    <w:p>
      <w:pPr>
        <w:pStyle w:val="Heading1"/>
        <w:widowControl w:val="1"/>
      </w:pPr>
      <w:r>
        <w:t>16. Likely Panel Questions and Answers</w:t>
      </w:r>
    </w:p>
    <w:p>
      <w:pPr>
        <w:pStyle w:val="Heading2"/>
        <w:widowControl w:val="1"/>
      </w:pPr>
      <w:r>
        <w:t>Why not just use social media?</w:t>
      </w:r>
    </w:p>
    <w:p>
      <w:pPr>
        <w:keepLines w:val="0"/>
        <w:widowControl w:val="1"/>
      </w:pPr>
      <w:r>
        <w:rPr>
          <w:rFonts w:ascii="Calibri" w:hAnsi="Calibri"/>
          <w:b w:val="0"/>
          <w:i w:val="0"/>
          <w:color w:val="0F172A"/>
          <w:sz w:val="22"/>
        </w:rPr>
        <w:t>Social media is useful for awareness but does not provide structured eligibility rules, reusable documents, controlled application disclosure, role-based review, progress tracking, or auditable decisions. The platform complements social media by turning an announcement into a managed process.</w:t>
      </w:r>
    </w:p>
    <w:p>
      <w:pPr>
        <w:pStyle w:val="Heading2"/>
        <w:widowControl w:val="1"/>
      </w:pPr>
      <w:r>
        <w:t>Why would a provider use this if it has its own website?</w:t>
      </w:r>
    </w:p>
    <w:p>
      <w:pPr>
        <w:keepLines w:val="0"/>
        <w:widowControl w:val="1"/>
      </w:pPr>
      <w:r>
        <w:rPr>
          <w:rFonts w:ascii="Calibri" w:hAnsi="Calibri"/>
          <w:b w:val="0"/>
          <w:i w:val="0"/>
          <w:color w:val="0F172A"/>
          <w:sz w:val="22"/>
        </w:rPr>
        <w:t>The provider can use the platform as an additional discovery and applicant-intake channel. It gains access to prepared applicants, structured matching, document review, communication, and shared infrastructure without replacing its official system.</w:t>
      </w:r>
    </w:p>
    <w:p>
      <w:pPr>
        <w:pStyle w:val="Heading2"/>
        <w:widowControl w:val="1"/>
      </w:pPr>
      <w:r>
        <w:t>Why should providers not pay a subscription?</w:t>
      </w:r>
    </w:p>
    <w:p>
      <w:pPr>
        <w:keepLines w:val="0"/>
        <w:widowControl w:val="1"/>
      </w:pPr>
      <w:r>
        <w:rPr>
          <w:rFonts w:ascii="Calibri" w:hAnsi="Calibri"/>
          <w:b w:val="0"/>
          <w:i w:val="0"/>
          <w:color w:val="0F172A"/>
          <w:sz w:val="22"/>
        </w:rPr>
        <w:t>Recurring fees can exclude small or seasonal providers and redirect resources from scholarship benefits. Free core access increases opportunity supply; optional services can recover costs without making payment a condition of participation.</w:t>
      </w:r>
    </w:p>
    <w:p>
      <w:pPr>
        <w:pStyle w:val="Heading2"/>
        <w:widowControl w:val="1"/>
      </w:pPr>
      <w:r>
        <w:t>Why should an institution sponsor it?</w:t>
      </w:r>
    </w:p>
    <w:p>
      <w:pPr>
        <w:keepLines w:val="0"/>
        <w:widowControl w:val="1"/>
      </w:pPr>
      <w:r>
        <w:rPr>
          <w:rFonts w:ascii="Calibri" w:hAnsi="Calibri"/>
          <w:b w:val="0"/>
          <w:i w:val="0"/>
          <w:color w:val="0F172A"/>
          <w:sz w:val="22"/>
        </w:rPr>
        <w:t>The institution funds shared educational infrastructure, receives measurable aggregated impact, supports community/CSR goals, reduces duplicated systems, and provides a governance home. It does not receive private applicant data or decision control.</w:t>
      </w:r>
    </w:p>
    <w:p>
      <w:pPr>
        <w:pStyle w:val="Heading2"/>
        <w:widowControl w:val="1"/>
      </w:pPr>
      <w:r>
        <w:t>Does the match score approve the applicant?</w:t>
      </w:r>
    </w:p>
    <w:p>
      <w:pPr>
        <w:keepLines w:val="0"/>
        <w:widowControl w:val="1"/>
      </w:pPr>
      <w:r>
        <w:rPr>
          <w:rFonts w:ascii="Calibri" w:hAnsi="Calibri"/>
          <w:b w:val="0"/>
          <w:i w:val="0"/>
          <w:color w:val="0F172A"/>
          <w:sz w:val="22"/>
        </w:rPr>
        <w:t>No. It explains alignment with provider-defined criteria. Documents, authenticity, context, available slots, exams, interviews, and provider policy still require human review.</w:t>
      </w:r>
    </w:p>
    <w:p>
      <w:pPr>
        <w:pStyle w:val="Heading2"/>
        <w:widowControl w:val="1"/>
      </w:pPr>
      <w:r>
        <w:t>Why collect income and location?</w:t>
      </w:r>
    </w:p>
    <w:p>
      <w:pPr>
        <w:keepLines w:val="0"/>
        <w:widowControl w:val="1"/>
      </w:pPr>
      <w:r>
        <w:rPr>
          <w:rFonts w:ascii="Calibri" w:hAnsi="Calibri"/>
          <w:b w:val="0"/>
          <w:i w:val="0"/>
          <w:color w:val="0F172A"/>
          <w:sz w:val="22"/>
        </w:rPr>
        <w:t>Only programs with need-based or geographic rules require those fields. Income helps assess need priority, while location supports coverage and distance. Proportionality requires avoiding unnecessary precision or unrelated use.</w:t>
      </w:r>
    </w:p>
    <w:p>
      <w:pPr>
        <w:pStyle w:val="Heading2"/>
        <w:widowControl w:val="1"/>
      </w:pPr>
      <w:r>
        <w:t>Why can applicants explore before completing the profile?</w:t>
      </w:r>
    </w:p>
    <w:p>
      <w:pPr>
        <w:keepLines w:val="0"/>
        <w:widowControl w:val="1"/>
      </w:pPr>
      <w:r>
        <w:rPr>
          <w:rFonts w:ascii="Calibri" w:hAnsi="Calibri"/>
          <w:b w:val="0"/>
          <w:i w:val="0"/>
          <w:color w:val="0F172A"/>
          <w:sz w:val="22"/>
        </w:rPr>
        <w:t>Exploration builds understanding and trust. Submission is still gated by profile readiness, so providers do not receive incomplete applications.</w:t>
      </w:r>
    </w:p>
    <w:p>
      <w:pPr>
        <w:pStyle w:val="Heading2"/>
        <w:widowControl w:val="1"/>
      </w:pPr>
      <w:r>
        <w:t>Why verify providers and programs separately?</w:t>
      </w:r>
    </w:p>
    <w:p>
      <w:pPr>
        <w:keepLines w:val="0"/>
        <w:widowControl w:val="1"/>
      </w:pPr>
      <w:r>
        <w:rPr>
          <w:rFonts w:ascii="Calibri" w:hAnsi="Calibri"/>
          <w:b w:val="0"/>
          <w:i w:val="0"/>
          <w:color w:val="0F172A"/>
          <w:sz w:val="22"/>
        </w:rPr>
        <w:t>Provider verification establishes organizational legitimacy; program review checks the accuracy and completeness of a specific offer. One approval cannot safely replace the other.</w:t>
      </w:r>
    </w:p>
    <w:p>
      <w:pPr>
        <w:pStyle w:val="Heading2"/>
        <w:widowControl w:val="1"/>
      </w:pPr>
      <w:r>
        <w:t>Why are exams and interviews outside the portal?</w:t>
      </w:r>
    </w:p>
    <w:p>
      <w:pPr>
        <w:keepLines w:val="0"/>
        <w:widowControl w:val="1"/>
      </w:pPr>
      <w:r>
        <w:rPr>
          <w:rFonts w:ascii="Calibri" w:hAnsi="Calibri"/>
          <w:b w:val="0"/>
          <w:i w:val="0"/>
          <w:color w:val="0F172A"/>
          <w:sz w:val="22"/>
        </w:rPr>
        <w:t>Providers already have their own assessment methods and staff. The current platform coordinates schedules and outcomes without claiming to securely proctor every possible assessment.</w:t>
      </w:r>
    </w:p>
    <w:p>
      <w:pPr>
        <w:pStyle w:val="Heading2"/>
        <w:widowControl w:val="1"/>
      </w:pPr>
      <w:r>
        <w:t>Can younger learners use the platform?</w:t>
      </w:r>
    </w:p>
    <w:p>
      <w:pPr>
        <w:keepLines w:val="0"/>
        <w:widowControl w:val="1"/>
      </w:pPr>
      <w:r>
        <w:rPr>
          <w:rFonts w:ascii="Calibri" w:hAnsi="Calibri"/>
          <w:b w:val="0"/>
          <w:i w:val="0"/>
          <w:color w:val="0F172A"/>
          <w:sz w:val="22"/>
        </w:rPr>
        <w:t>Yes. The profile supports education levels below college and guardian-managed or guardian-supported accounts. Fields and scholarship criteria should adapt to the learner's level.</w:t>
      </w:r>
    </w:p>
    <w:p>
      <w:pPr>
        <w:pStyle w:val="Heading2"/>
        <w:widowControl w:val="1"/>
      </w:pPr>
      <w:r>
        <w:t>How is personal information protected?</w:t>
      </w:r>
    </w:p>
    <w:p>
      <w:pPr>
        <w:keepLines w:val="0"/>
        <w:widowControl w:val="1"/>
      </w:pPr>
      <w:r>
        <w:rPr>
          <w:rFonts w:ascii="Calibri" w:hAnsi="Calibri"/>
          <w:b w:val="0"/>
          <w:i w:val="0"/>
          <w:color w:val="0F172A"/>
          <w:sz w:val="22"/>
        </w:rPr>
        <w:t>Access is role- and relationship-based, documents use protected routes, public profiles are avoided, privacy notices explain use, and logs support accountability. Production still requires institutional policies, testing, and incident response.</w:t>
      </w:r>
    </w:p>
    <w:p>
      <w:pPr>
        <w:pStyle w:val="Heading2"/>
        <w:widowControl w:val="1"/>
      </w:pPr>
      <w:r>
        <w:t>Is the platform already ready for nationwide deployment?</w:t>
      </w:r>
    </w:p>
    <w:p>
      <w:pPr>
        <w:keepLines w:val="0"/>
        <w:widowControl w:val="1"/>
      </w:pPr>
      <w:r>
        <w:rPr>
          <w:rFonts w:ascii="Calibri" w:hAnsi="Calibri"/>
          <w:b w:val="0"/>
          <w:i w:val="0"/>
          <w:color w:val="0F172A"/>
          <w:sz w:val="22"/>
        </w:rPr>
        <w:t>It is suitable for controlled demonstration and further pilot preparation. Nationwide deployment would require formal ownership, legal and security review, scalable infrastructure, support operations, and evidence from a controlled pilot.</w:t>
      </w:r>
    </w:p>
    <w:p>
      <w:pPr>
        <w:pStyle w:val="Heading1"/>
        <w:widowControl w:val="1"/>
      </w:pPr>
      <w:r>
        <w:t>17. Closing Script</w:t>
      </w:r>
    </w:p>
    <w:p>
      <w:pPr>
        <w:pStyle w:val="PresenterScript"/>
        <w:widowControl w:val="1"/>
      </w:pPr>
      <w:r>
        <w:rPr>
          <w:rFonts w:ascii="Calibri" w:hAnsi="Calibri"/>
          <w:b/>
          <w:i w:val="0"/>
          <w:color w:val="0F172A"/>
          <w:sz w:val="22"/>
        </w:rPr>
        <w:t xml:space="preserve">Presenter script: </w:t>
      </w:r>
      <w:r>
        <w:rPr>
          <w:rFonts w:ascii="Calibri" w:hAnsi="Calibri"/>
          <w:b w:val="0"/>
          <w:i w:val="0"/>
          <w:color w:val="0F172A"/>
          <w:sz w:val="22"/>
        </w:rPr>
        <w:t>In summary, the platform does not only list scholarships. It connects discovery, applicant readiness, provider trust, program publication, document handling, decision support, stage communication, and administrative oversight. The process is intentionally designed so applicants can explore before disclosing extensive data, providers remain the final decision-makers, and administrators protect the reliability of public opportunities. For sustainability, we recommend institution-backed core funding with optional services rather than mandatory provider subscriptions. This keeps the platform inclusive while giving the host institution measurable educational and community impact.</w:t>
      </w:r>
    </w:p>
    <w:p>
      <w:pPr>
        <w:pStyle w:val="KeyMessage"/>
        <w:widowControl w:val="1"/>
      </w:pPr>
      <w:r>
        <w:rPr>
          <w:rFonts w:ascii="Calibri" w:hAnsi="Calibri"/>
          <w:b/>
          <w:i w:val="0"/>
          <w:color w:val="0F172A"/>
          <w:sz w:val="22"/>
        </w:rPr>
        <w:t xml:space="preserve">Final line: </w:t>
      </w:r>
      <w:r>
        <w:rPr>
          <w:rFonts w:ascii="Calibri" w:hAnsi="Calibri"/>
          <w:b w:val="0"/>
          <w:i w:val="0"/>
          <w:color w:val="0F172A"/>
          <w:sz w:val="22"/>
        </w:rPr>
        <w:t>Our intended contribution is a trustworthy and explainable scholarship access infrastructure that helps more learners find suitable opportunities and helps providers manage them responsibly.</w:t>
      </w:r>
    </w:p>
    <w:p>
      <w:pPr>
        <w:widowControl w:val="1"/>
      </w:pPr>
      <w:r>
        <w:br w:type="page"/>
      </w:r>
    </w:p>
    <w:p>
      <w:pPr>
        <w:pStyle w:val="Heading1"/>
        <w:widowControl w:val="1"/>
      </w:pPr>
      <w:r>
        <w:t>Appendix A. Click-by-Click Demonstration Checklist</w:t>
      </w:r>
    </w:p>
    <w:p>
      <w:pPr>
        <w:numPr>
          <w:ilvl w:val="0"/>
          <w:numId w:val="91"/>
        </w:numPr>
        <w:spacing w:after="80" w:line="300" w:lineRule="auto"/>
        <w:widowControl w:val="1"/>
      </w:pPr>
      <w:r>
        <w:rPr>
          <w:rFonts w:ascii="Calibri" w:hAnsi="Calibri"/>
          <w:b w:val="0"/>
          <w:i w:val="0"/>
          <w:color w:val="0F172A"/>
          <w:sz w:val="22"/>
        </w:rPr>
        <w:t>Landing: explain title -&gt; carousel -&gt; applicant access -&gt; provider participation -&gt; privacy/terms.</w:t>
      </w:r>
    </w:p>
    <w:p>
      <w:pPr>
        <w:numPr>
          <w:ilvl w:val="0"/>
          <w:numId w:val="91"/>
        </w:numPr>
        <w:spacing w:after="80" w:line="300" w:lineRule="auto"/>
        <w:widowControl w:val="1"/>
      </w:pPr>
      <w:r>
        <w:rPr>
          <w:rFonts w:ascii="Calibri" w:hAnsi="Calibri"/>
          <w:b w:val="0"/>
          <w:i w:val="0"/>
          <w:color w:val="0F172A"/>
          <w:sz w:val="22"/>
        </w:rPr>
        <w:t>Applicant register: details -&gt; terms -&gt; send code -&gt; verify -&gt; login.</w:t>
      </w:r>
    </w:p>
    <w:p>
      <w:pPr>
        <w:numPr>
          <w:ilvl w:val="0"/>
          <w:numId w:val="91"/>
        </w:numPr>
        <w:spacing w:after="80" w:line="300" w:lineRule="auto"/>
        <w:widowControl w:val="1"/>
      </w:pPr>
      <w:r>
        <w:rPr>
          <w:rFonts w:ascii="Calibri" w:hAnsi="Calibri"/>
          <w:b w:val="0"/>
          <w:i w:val="0"/>
          <w:color w:val="0F172A"/>
          <w:sz w:val="22"/>
        </w:rPr>
        <w:t>Applicant dashboard: next action -&gt; readiness -&gt; recommendation.</w:t>
      </w:r>
    </w:p>
    <w:p>
      <w:pPr>
        <w:numPr>
          <w:ilvl w:val="0"/>
          <w:numId w:val="91"/>
        </w:numPr>
        <w:spacing w:after="80" w:line="300" w:lineRule="auto"/>
        <w:widowControl w:val="1"/>
      </w:pPr>
      <w:r>
        <w:rPr>
          <w:rFonts w:ascii="Calibri" w:hAnsi="Calibri"/>
          <w:b w:val="0"/>
          <w:i w:val="0"/>
          <w:color w:val="0F172A"/>
          <w:sz w:val="22"/>
        </w:rPr>
        <w:t>Profile: identity -&gt; education -&gt; academic -&gt; household -&gt; location -&gt; preferences -&gt; guardian -&gt; verification.</w:t>
      </w:r>
    </w:p>
    <w:p>
      <w:pPr>
        <w:numPr>
          <w:ilvl w:val="0"/>
          <w:numId w:val="91"/>
        </w:numPr>
        <w:spacing w:after="80" w:line="300" w:lineRule="auto"/>
        <w:widowControl w:val="1"/>
      </w:pPr>
      <w:r>
        <w:rPr>
          <w:rFonts w:ascii="Calibri" w:hAnsi="Calibri"/>
          <w:b w:val="0"/>
          <w:i w:val="0"/>
          <w:color w:val="0F172A"/>
          <w:sz w:val="22"/>
        </w:rPr>
        <w:t>Documents: upload common file -&gt; view -&gt; replace -&gt; explain reuse.</w:t>
      </w:r>
    </w:p>
    <w:p>
      <w:pPr>
        <w:numPr>
          <w:ilvl w:val="0"/>
          <w:numId w:val="91"/>
        </w:numPr>
        <w:spacing w:after="80" w:line="300" w:lineRule="auto"/>
        <w:widowControl w:val="1"/>
      </w:pPr>
      <w:r>
        <w:rPr>
          <w:rFonts w:ascii="Calibri" w:hAnsi="Calibri"/>
          <w:b w:val="0"/>
          <w:i w:val="0"/>
          <w:color w:val="0F172A"/>
          <w:sz w:val="22"/>
        </w:rPr>
        <w:t>Scholarships: filter -&gt; quick view -&gt; full details -&gt; map -&gt; save -&gt; start application.</w:t>
      </w:r>
    </w:p>
    <w:p>
      <w:pPr>
        <w:numPr>
          <w:ilvl w:val="0"/>
          <w:numId w:val="91"/>
        </w:numPr>
        <w:spacing w:after="80" w:line="300" w:lineRule="auto"/>
        <w:widowControl w:val="1"/>
      </w:pPr>
      <w:r>
        <w:rPr>
          <w:rFonts w:ascii="Calibri" w:hAnsi="Calibri"/>
          <w:b w:val="0"/>
          <w:i w:val="0"/>
          <w:color w:val="0F172A"/>
          <w:sz w:val="22"/>
        </w:rPr>
        <w:t>Application wizard: review -&gt; documents -&gt; submit terms -&gt; submit.</w:t>
      </w:r>
    </w:p>
    <w:p>
      <w:pPr>
        <w:numPr>
          <w:ilvl w:val="0"/>
          <w:numId w:val="91"/>
        </w:numPr>
        <w:spacing w:after="80" w:line="300" w:lineRule="auto"/>
        <w:widowControl w:val="1"/>
      </w:pPr>
      <w:r>
        <w:rPr>
          <w:rFonts w:ascii="Calibri" w:hAnsi="Calibri"/>
          <w:b w:val="0"/>
          <w:i w:val="0"/>
          <w:color w:val="0F172A"/>
          <w:sz w:val="22"/>
        </w:rPr>
        <w:t>Application detail: flow -&gt; next action -&gt; schedules -&gt; files -&gt; DSS explanation -&gt; history.</w:t>
      </w:r>
    </w:p>
    <w:p>
      <w:pPr>
        <w:numPr>
          <w:ilvl w:val="0"/>
          <w:numId w:val="91"/>
        </w:numPr>
        <w:spacing w:after="80" w:line="300" w:lineRule="auto"/>
        <w:widowControl w:val="1"/>
      </w:pPr>
      <w:r>
        <w:rPr>
          <w:rFonts w:ascii="Calibri" w:hAnsi="Calibri"/>
          <w:b w:val="0"/>
          <w:i w:val="0"/>
          <w:color w:val="0F172A"/>
          <w:sz w:val="22"/>
        </w:rPr>
        <w:t>Provider profile: organization -&gt; proof -&gt; verification status.</w:t>
      </w:r>
    </w:p>
    <w:p>
      <w:pPr>
        <w:numPr>
          <w:ilvl w:val="0"/>
          <w:numId w:val="91"/>
        </w:numPr>
        <w:spacing w:after="80" w:line="300" w:lineRule="auto"/>
        <w:widowControl w:val="1"/>
      </w:pPr>
      <w:r>
        <w:rPr>
          <w:rFonts w:ascii="Calibri" w:hAnsi="Calibri"/>
          <w:b w:val="0"/>
          <w:i w:val="0"/>
          <w:color w:val="0F172A"/>
          <w:sz w:val="22"/>
        </w:rPr>
        <w:t>Provider programs: status filters -&gt; create/edit -&gt; publication checklist -&gt; submit for review.</w:t>
      </w:r>
    </w:p>
    <w:p>
      <w:pPr>
        <w:numPr>
          <w:ilvl w:val="0"/>
          <w:numId w:val="91"/>
        </w:numPr>
        <w:spacing w:after="80" w:line="300" w:lineRule="auto"/>
        <w:widowControl w:val="1"/>
      </w:pPr>
      <w:r>
        <w:rPr>
          <w:rFonts w:ascii="Calibri" w:hAnsi="Calibri"/>
          <w:b w:val="0"/>
          <w:i w:val="0"/>
          <w:color w:val="0F172A"/>
          <w:sz w:val="22"/>
        </w:rPr>
        <w:t>Provider applications: queue -&gt; applicant details -&gt; document preview -&gt; stage decision -&gt; schedule/outcome.</w:t>
      </w:r>
    </w:p>
    <w:p>
      <w:pPr>
        <w:numPr>
          <w:ilvl w:val="0"/>
          <w:numId w:val="91"/>
        </w:numPr>
        <w:spacing w:after="80" w:line="300" w:lineRule="auto"/>
        <w:widowControl w:val="1"/>
      </w:pPr>
      <w:r>
        <w:rPr>
          <w:rFonts w:ascii="Calibri" w:hAnsi="Calibri"/>
          <w:b w:val="0"/>
          <w:i w:val="0"/>
          <w:color w:val="0F172A"/>
          <w:sz w:val="22"/>
        </w:rPr>
        <w:t>Admin reviews: provider -&gt; program -&gt; applicant.</w:t>
      </w:r>
    </w:p>
    <w:p>
      <w:pPr>
        <w:numPr>
          <w:ilvl w:val="0"/>
          <w:numId w:val="91"/>
        </w:numPr>
        <w:spacing w:after="80" w:line="300" w:lineRule="auto"/>
        <w:widowControl w:val="1"/>
      </w:pPr>
      <w:r>
        <w:rPr>
          <w:rFonts w:ascii="Calibri" w:hAnsi="Calibri"/>
          <w:b w:val="0"/>
          <w:i w:val="0"/>
          <w:color w:val="0F172A"/>
          <w:sz w:val="22"/>
        </w:rPr>
        <w:t>Admin controls: users -&gt; reports -&gt; logs -&gt; optional billing oversight.</w:t>
      </w:r>
    </w:p>
    <w:p>
      <w:pPr>
        <w:numPr>
          <w:ilvl w:val="0"/>
          <w:numId w:val="91"/>
        </w:numPr>
        <w:spacing w:after="80" w:line="300" w:lineRule="auto"/>
        <w:widowControl w:val="1"/>
      </w:pPr>
      <w:r>
        <w:rPr>
          <w:rFonts w:ascii="Calibri" w:hAnsi="Calibri"/>
          <w:b w:val="0"/>
          <w:i w:val="0"/>
          <w:color w:val="0F172A"/>
          <w:sz w:val="22"/>
        </w:rPr>
        <w:t>Defense: DSS limits -&gt; data rationale -&gt; privacy -&gt; sustainability -&gt; limitations.</w:t>
      </w:r>
    </w:p>
    <w:p>
      <w:pPr>
        <w:pStyle w:val="Heading1"/>
        <w:widowControl w:val="1"/>
      </w:pPr>
      <w:r>
        <w:t>Appendix B. Evidence and Sources</w:t>
      </w:r>
    </w:p>
    <w:p>
      <w:pPr>
        <w:keepLines w:val="0"/>
        <w:widowControl w:val="1"/>
      </w:pPr>
      <w:r>
        <w:rPr>
          <w:rFonts w:ascii="Calibri" w:hAnsi="Calibri"/>
          <w:b w:val="0"/>
          <w:i w:val="0"/>
          <w:color w:val="0F172A"/>
          <w:sz w:val="22"/>
        </w:rPr>
        <w:t>The sources below support the rationale; they do not certify the platform as legally compliant, secure, effective, or production-ready. Formal deployment requires institutional review and testing.</w:t>
      </w:r>
    </w:p>
    <w:p>
      <w:pPr>
        <w:spacing w:after="120"/>
        <w:ind w:left="259" w:hanging="259"/>
        <w:widowControl w:val="1"/>
      </w:pPr>
      <w:r>
        <w:rPr>
          <w:rFonts w:ascii="Calibri" w:hAnsi="Calibri"/>
          <w:b/>
          <w:i w:val="0"/>
          <w:color w:val="0F172A"/>
          <w:sz w:val="20"/>
        </w:rPr>
        <w:t xml:space="preserve">[1] Philippine Statistics Authority. </w:t>
      </w:r>
      <w:r>
        <w:rPr>
          <w:rFonts w:ascii="Calibri" w:hAnsi="Calibri"/>
          <w:b w:val="0"/>
          <w:i/>
          <w:color w:val="0F172A"/>
          <w:sz w:val="20"/>
        </w:rPr>
        <w:t xml:space="preserve">Four out of Five Children Aged 5 to 24 Years Were Attending School for School Year 2022 to 2023. </w:t>
      </w:r>
      <w:hyperlink r:id="rId11">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[2] United Nations Department of Economic and Social Affairs. </w:t>
      </w:r>
      <w:r>
        <w:rPr>
          <w:rFonts w:ascii="Calibri" w:hAnsi="Calibri"/>
          <w:b w:val="0"/>
          <w:i/>
          <w:color w:val="0F172A"/>
          <w:sz w:val="20"/>
        </w:rPr>
        <w:t xml:space="preserve">Goal 4: Ensure inclusive and equitable quality education and promote lifelong learning opportunities for all. </w:t>
      </w:r>
      <w:hyperlink r:id="rId12">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[3] National Privacy Commission. </w:t>
      </w:r>
      <w:r>
        <w:rPr>
          <w:rFonts w:ascii="Calibri" w:hAnsi="Calibri"/>
          <w:b w:val="0"/>
          <w:i/>
          <w:color w:val="0F172A"/>
          <w:sz w:val="20"/>
        </w:rPr>
        <w:t xml:space="preserve">Implementing Rules and Regulations of the Data Privacy Act of 2012. </w:t>
      </w:r>
      <w:hyperlink r:id="rId13">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[4] OWASP Cheat Sheet Series. </w:t>
      </w:r>
      <w:r>
        <w:rPr>
          <w:rFonts w:ascii="Calibri" w:hAnsi="Calibri"/>
          <w:b w:val="0"/>
          <w:i/>
          <w:color w:val="0F172A"/>
          <w:sz w:val="20"/>
        </w:rPr>
        <w:t xml:space="preserve">Email Validation and Verification in Identity Systems Cheat Sheet. </w:t>
      </w:r>
      <w:hyperlink r:id="rId14">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[5] Department of Science and Technology Regional Office VII. </w:t>
      </w:r>
      <w:r>
        <w:rPr>
          <w:rFonts w:ascii="Calibri" w:hAnsi="Calibri"/>
          <w:b w:val="0"/>
          <w:i/>
          <w:color w:val="0F172A"/>
          <w:sz w:val="20"/>
        </w:rPr>
        <w:t xml:space="preserve">Citizen's Charter 2024: DOST-SEI scholarship registration, email verification, and eligibility module. </w:t>
      </w:r>
      <w:hyperlink r:id="rId15">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[6] Department of Science and Technology Northern Mindanao. </w:t>
      </w:r>
      <w:r>
        <w:rPr>
          <w:rFonts w:ascii="Calibri" w:hAnsi="Calibri"/>
          <w:b w:val="0"/>
          <w:i/>
          <w:color w:val="0F172A"/>
          <w:sz w:val="20"/>
        </w:rPr>
        <w:t xml:space="preserve">A New Batch of Future Scientists Takes the Next Step Through the 2026 DOST-SEI Scholarship Exam. </w:t>
      </w:r>
      <w:hyperlink r:id="rId16">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[7] National Institute of Standards and Technology. </w:t>
      </w:r>
      <w:r>
        <w:rPr>
          <w:rFonts w:ascii="Calibri" w:hAnsi="Calibri"/>
          <w:b w:val="0"/>
          <w:i/>
          <w:color w:val="0F172A"/>
          <w:sz w:val="20"/>
        </w:rPr>
        <w:t xml:space="preserve">Artificial Intelligence Risk Management Framework 1.0 and Appendix C on Human-AI Interaction. </w:t>
      </w:r>
      <w:hyperlink r:id="rId17">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[8] OWASP Cheat Sheet Series. </w:t>
      </w:r>
      <w:r>
        <w:rPr>
          <w:rFonts w:ascii="Calibri" w:hAnsi="Calibri"/>
          <w:b w:val="0"/>
          <w:i/>
          <w:color w:val="0F172A"/>
          <w:sz w:val="20"/>
        </w:rPr>
        <w:t xml:space="preserve">Authorization Cheat Sheet. </w:t>
      </w:r>
      <w:hyperlink r:id="rId18">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[9] World Bank Group. </w:t>
      </w:r>
      <w:r>
        <w:rPr>
          <w:rFonts w:ascii="Calibri" w:hAnsi="Calibri"/>
          <w:b w:val="0"/>
          <w:i/>
          <w:color w:val="0F172A"/>
          <w:sz w:val="20"/>
        </w:rPr>
        <w:t xml:space="preserve">Digital Public Infrastructure and Services. </w:t>
      </w:r>
      <w:hyperlink r:id="rId19">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[10] United Nations Development Programme. </w:t>
      </w:r>
      <w:r>
        <w:rPr>
          <w:rFonts w:ascii="Calibri" w:hAnsi="Calibri"/>
          <w:b w:val="0"/>
          <w:i/>
          <w:color w:val="0F172A"/>
          <w:sz w:val="20"/>
        </w:rPr>
        <w:t xml:space="preserve">Digital Public Infrastructure. </w:t>
      </w:r>
      <w:hyperlink r:id="rId20">
        <w:r>
          <w:rPr>
            <w:color w:val="2E74B5"/>
            <w:u w:val="single"/>
          </w:rPr>
          <w:t>View source</w:t>
        </w:r>
      </w:hyperlink>
      <w:r>
        <w:rPr>
          <w:rFonts w:ascii="Calibri" w:hAnsi="Calibri"/>
          <w:b w:val="0"/>
          <w:i w:val="0"/>
          <w:color w:val="5B6472"/>
          <w:sz w:val="20"/>
        </w:rPr>
        <w:t xml:space="preserve"> (accessed August 16, 2026).</w:t>
      </w:r>
    </w:p>
    <w:p>
      <w:pPr>
        <w:spacing w:after="120"/>
        <w:ind w:left="259" w:hanging="259"/>
        <w:widowControl w:val="1"/>
      </w:pPr>
      <w:r>
        <w:rPr>
          <w:rFonts w:ascii="Calibri" w:hAnsi="Calibri"/>
          <w:b/>
          <w:i w:val="0"/>
          <w:color w:val="0F172A"/>
          <w:sz w:val="20"/>
        </w:rPr>
        <w:t xml:space="preserve">[11] National Privacy Commission. </w:t>
      </w:r>
      <w:r>
        <w:rPr>
          <w:rFonts w:ascii="Calibri" w:hAnsi="Calibri"/>
          <w:b w:val="0"/>
          <w:i/>
          <w:color w:val="0F172A"/>
          <w:sz w:val="20"/>
        </w:rPr>
        <w:t xml:space="preserve">Republic Act No. 10173 - Data Privacy Act of 2012. </w:t>
      </w:r>
      <w:hyperlink r:id="rId21">
        <w:r>
          <w:rPr>
            <w:color w:val="2E74B5"/>
            <w:u w:val="single"/>
          </w:rPr>
          <w:t>View source</w:t>
        </w:r>
      </w:hyperlink>
      <w:r>
        <w:rPr>
          <w:rFonts w:ascii="Calibri" w:hAnsi="Calibri"/>
          <w:b w:val="0"/>
          <w:i w:val="0"/>
          <w:color w:val="5B6472"/>
          <w:sz w:val="20"/>
        </w:rPr>
        <w:t xml:space="preserve"> (accessed August 16, 2026).</w:t>
      </w:r>
    </w:p>
    <w:p>
      <w:pPr>
        <w:pStyle w:val="Heading2"/>
        <w:widowControl w:val="1"/>
      </w:pPr>
      <w:r>
        <w:t>Document Basis</w:t>
      </w:r>
    </w:p>
    <w:p>
      <w:pPr>
        <w:keepLines w:val="0"/>
        <w:widowControl w:val="1"/>
      </w:pPr>
      <w:r>
        <w:rPr>
          <w:rFonts w:ascii="Calibri" w:hAnsi="Calibri"/>
          <w:b w:val="0"/>
          <w:i w:val="0"/>
          <w:color w:val="0F172A"/>
          <w:sz w:val="22"/>
        </w:rPr>
        <w:t>Platform descriptions in this script were checked against the current Laravel routes, Vue applicant/provider/admin pages, data models, publication rules, and DecisionSupportService methodology version 2.1 in the scholarship_web project as of August 16,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472"/>
        <w:sz w:val="18"/>
      </w:rPr>
      <w:t xml:space="preserve">Demonstration Script  |  Page </w:t>
    </w:r>
    <w:r>
      <w:rPr>
        <w:rFonts w:ascii="Calibri" w:hAnsi="Calibri"/>
        <w:b w:val="0"/>
        <w:i w:val="0"/>
        <w:color w:val="5B64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472"/>
        <w:sz w:val="17"/>
      </w:rPr>
      <w:t>SCHOLARSHIP FINDER AND ELIGIBILITY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pPr>
    </w:lvl>
  </w:abstractNum>
  <w:num w:numId="90">
    <w:abstractNumId w:val="90"/>
  </w:num>
  <w:abstractNum w:abstractNumId="91">
    <w:multiLevelType w:val="singleLevel"/>
    <w:lvl w:ilvl="0">
      <w:start w:val="1"/>
      <w:numFmt w:val="decimal"/>
      <w:lvlText w:val="%1."/>
      <w:suff w:val="tab"/>
      <w:pPr>
        <w:tabs>
          <w:tab w:val="num" w:pos="540"/>
        </w:tabs>
        <w:ind w:left="540" w:hanging="270"/>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F17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senterScript">
    <w:name w:val="Presenter Script"/>
    <w:basedOn w:val="Normal"/>
    <w:pPr>
      <w:spacing w:before="80" w:after="140" w:line="288" w:lineRule="auto"/>
      <w:ind w:left="259" w:right="259"/>
      <w:shd w:fill="FFF7D6"/>
    </w:pPr>
    <w:rPr>
      <w:rFonts w:ascii="Calibri" w:hAnsi="Calibri"/>
      <w:b w:val="0"/>
      <w:i w:val="0"/>
      <w:color w:val="0F172A"/>
      <w:sz w:val="21"/>
    </w:rPr>
  </w:style>
  <w:style w:type="paragraph" w:customStyle="1" w:styleId="OnScreen">
    <w:name w:val="On Screen"/>
    <w:basedOn w:val="Normal"/>
    <w:pPr>
      <w:spacing w:before="80" w:after="140" w:line="288" w:lineRule="auto"/>
      <w:ind w:left="259" w:right="259"/>
      <w:shd w:fill="E8EEF5"/>
    </w:pPr>
    <w:rPr>
      <w:rFonts w:ascii="Calibri" w:hAnsi="Calibri"/>
      <w:b w:val="0"/>
      <w:i w:val="0"/>
      <w:color w:val="1F4D78"/>
      <w:sz w:val="21"/>
    </w:rPr>
  </w:style>
  <w:style w:type="paragraph" w:customStyle="1" w:styleId="EvidenceNote">
    <w:name w:val="Evidence Note"/>
    <w:basedOn w:val="Normal"/>
    <w:pPr>
      <w:spacing w:before="80" w:after="140" w:line="288" w:lineRule="auto"/>
      <w:ind w:left="259" w:right="259"/>
      <w:shd w:fill="ECFDF3"/>
    </w:pPr>
    <w:rPr>
      <w:rFonts w:ascii="Calibri" w:hAnsi="Calibri"/>
      <w:b w:val="0"/>
      <w:i w:val="0"/>
      <w:color w:val="166534"/>
      <w:sz w:val="20"/>
    </w:rPr>
  </w:style>
  <w:style w:type="paragraph" w:customStyle="1" w:styleId="CautionNote">
    <w:name w:val="Caution Note"/>
    <w:basedOn w:val="Normal"/>
    <w:pPr>
      <w:spacing w:before="80" w:after="140" w:line="288" w:lineRule="auto"/>
      <w:ind w:left="259" w:right="259"/>
      <w:shd w:fill="FFF1F2"/>
    </w:pPr>
    <w:rPr>
      <w:rFonts w:ascii="Calibri" w:hAnsi="Calibri"/>
      <w:b w:val="0"/>
      <w:i w:val="0"/>
      <w:color w:val="9B1C1C"/>
      <w:sz w:val="20"/>
    </w:rPr>
  </w:style>
  <w:style w:type="paragraph" w:customStyle="1" w:styleId="KeyMessage">
    <w:name w:val="Key Message"/>
    <w:basedOn w:val="Normal"/>
    <w:pPr>
      <w:spacing w:before="80" w:after="140" w:line="288" w:lineRule="auto"/>
      <w:ind w:left="259" w:right="259"/>
      <w:shd w:fill="F4F6F9"/>
    </w:pPr>
    <w:rPr>
      <w:rFonts w:ascii="Calibri" w:hAnsi="Calibri"/>
      <w:b/>
      <w:i w:val="0"/>
      <w:color w:val="0F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sa.gov.ph/content/four-out-five-children-aged-5-24-years-were-attending-school-school-year-2022-2023" TargetMode="External"/><Relationship Id="rId12" Type="http://schemas.openxmlformats.org/officeDocument/2006/relationships/hyperlink" Target="https://sdgs.un.org/goals/goal4" TargetMode="External"/><Relationship Id="rId13" Type="http://schemas.openxmlformats.org/officeDocument/2006/relationships/hyperlink" Target="https://privacy.gov.ph/implementing-rules-regulations-data-privacy-act-2012/" TargetMode="External"/><Relationship Id="rId14" Type="http://schemas.openxmlformats.org/officeDocument/2006/relationships/hyperlink" Target="https://cheatsheetseries.owasp.org/cheatsheets/Email_Validation_and_Verification_Cheat_Sheet.html" TargetMode="External"/><Relationship Id="rId15" Type="http://schemas.openxmlformats.org/officeDocument/2006/relationships/hyperlink" Target="https://region7.dost.gov.ph/wp-content/uploads/2024/01/CITIZENS-CHARTER-2024.pdf" TargetMode="External"/><Relationship Id="rId16" Type="http://schemas.openxmlformats.org/officeDocument/2006/relationships/hyperlink" Target="https://region10.dost.gov.ph/?p=2949" TargetMode="External"/><Relationship Id="rId17" Type="http://schemas.openxmlformats.org/officeDocument/2006/relationships/hyperlink" Target="https://airc.nist.gov/airmf-resources/airmf/appendices/app-c-ai-risk-management-and-human-ai-interaction/" TargetMode="External"/><Relationship Id="rId18" Type="http://schemas.openxmlformats.org/officeDocument/2006/relationships/hyperlink" Target="https://cheatsheetseries.owasp.org/cheatsheets/Authorization_Cheat_Sheet.html" TargetMode="External"/><Relationship Id="rId19" Type="http://schemas.openxmlformats.org/officeDocument/2006/relationships/hyperlink" Target="https://www.worldbank.org/ext/en/topic/digital-and-ai/digital-public-infrastructure-and-services" TargetMode="External"/><Relationship Id="rId20" Type="http://schemas.openxmlformats.org/officeDocument/2006/relationships/hyperlink" Target="https://www.undp.org/digital/digital-public-infrastructure" TargetMode="External"/><Relationship Id="rId21" Type="http://schemas.openxmlformats.org/officeDocument/2006/relationships/hyperlink" Target="https://privacy.gov.ph/data-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Demonstration Script, Process Justification, and Sustainability</dc:title>
  <dc:subject>Capstone demonstration guide for the scholarship finder and eligibility platform</dc:subject>
  <dc:creator>Scholarship Platform Project Team</dc:creator>
  <cp:keywords>scholarship, demonstration, decision support, sustainability, privacy, process justification</cp:keywords>
  <dc:description>Prepared from the current scholarship_web implementation and cited authoritative sources.</dc:description>
  <cp:lastModifiedBy/>
  <cp:revision>1</cp:revision>
  <dcterms:created xsi:type="dcterms:W3CDTF">2013-12-23T23:15:00Z</dcterms:created>
  <dcterms:modified xsi:type="dcterms:W3CDTF">2013-12-23T23:15:00Z</dcterms:modified>
  <cp:category/>
</cp:coreProperties>
</file>