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pPr>
      <w:r>
        <w:rPr>
          <w:rFonts w:ascii="Aptos" w:hAnsi="Aptos"/>
          <w:b/>
          <w:color w:val="B25900"/>
          <w:sz w:val="18"/>
        </w:rPr>
        <w:t>PROCESS DOCUMENTATION</w:t>
      </w:r>
    </w:p>
    <w:p>
      <w:pPr>
        <w:pStyle w:val="Title"/>
      </w:pPr>
      <w:r>
        <w:t>Scholarship Platform Process Design References</w:t>
      </w:r>
    </w:p>
    <w:p>
      <w:pPr>
        <w:spacing w:after="480"/>
      </w:pPr>
      <w:r>
        <w:rPr>
          <w:rFonts w:ascii="Aptos Display" w:hAnsi="Aptos Display"/>
          <w:color w:val="4E627A"/>
          <w:sz w:val="28"/>
        </w:rPr>
        <w:t>Reference basis for applicant, provider, administrator, selection, monitoring, benefit, and service workflows</w:t>
      </w:r>
    </w:p>
    <w:p>
      <w:pPr>
        <w:spacing w:after="480"/>
      </w:pPr>
      <w:r>
        <w:rPr>
          <w:rFonts w:ascii="Aptos" w:hAnsi="Aptos"/>
          <w:b/>
          <w:color w:val="071326"/>
          <w:sz w:val="20"/>
        </w:rPr>
        <w:t>Prepared for Find Scholarship Online</w:t>
        <w:br/>
        <w:t>20 October 2026</w:t>
      </w:r>
    </w:p>
    <w:p>
      <w:pPr>
        <w:spacing w:after="140" w:line="274" w:lineRule="auto"/>
      </w:pPr>
      <w:r>
        <w:rPr>
          <w:rFonts w:ascii="Aptos" w:hAnsi="Aptos"/>
          <w:color w:val="071326"/>
          <w:sz w:val="20"/>
        </w:rPr>
        <w:t>This document explains the references used to shape and validate the processes in the system. The platform is not a direct copy of one scholarship portal. It combines Philippine scholarship-operating practices, Philippine privacy requirements, software-security guidance, framework documentation, accessibility standards, and platform-specific workflow decisions.</w:t>
      </w:r>
    </w:p>
    <w:p>
      <w:pPr>
        <w:spacing w:after="140" w:line="274" w:lineRule="auto"/>
      </w:pPr>
      <w:r>
        <w:rPr>
          <w:rFonts w:ascii="Aptos" w:hAnsi="Aptos"/>
          <w:b/>
          <w:color w:val="071326"/>
          <w:sz w:val="20"/>
        </w:rPr>
        <w:t>Main conclusion.</w:t>
      </w:r>
      <w:r>
        <w:rPr>
          <w:rFonts w:ascii="Aptos" w:hAnsi="Aptos"/>
          <w:color w:val="071326"/>
          <w:sz w:val="20"/>
        </w:rPr>
        <w:t xml:space="preserve"> The strongest external basis supports collecting relevant application evidence, using clear eligibility rules, recording award terms, monitoring continuing eligibility, documenting benefit releases, protecting personal data, and maintaining accountable actions. The exact screen sequence, role workspaces, configurable stages, decision-reopening controls, and case states are custom implementations designed for this system.</w:t>
      </w:r>
    </w:p>
    <w:p>
      <w:pPr>
        <w:pStyle w:val="Heading2"/>
        <w:keepNext/>
      </w:pPr>
      <w:r>
        <w:t>Reference hierarchy</w:t>
      </w:r>
    </w:p>
    <w:p>
      <w:pPr>
        <w:pStyle w:val="ListBullet"/>
        <w:spacing w:after="60" w:line="264" w:lineRule="auto"/>
      </w:pPr>
      <w:r>
        <w:rPr>
          <w:rFonts w:ascii="Aptos" w:hAnsi="Aptos"/>
          <w:color w:val="071326"/>
          <w:sz w:val="20"/>
        </w:rPr>
        <w:t>Legal and regulatory references define privacy, lawful processing, security, transparency, and data-subject rights.</w:t>
      </w:r>
    </w:p>
    <w:p>
      <w:pPr>
        <w:pStyle w:val="ListBullet"/>
        <w:spacing w:after="60" w:line="264" w:lineRule="auto"/>
      </w:pPr>
      <w:r>
        <w:rPr>
          <w:rFonts w:ascii="Aptos" w:hAnsi="Aptos"/>
          <w:color w:val="071326"/>
          <w:sz w:val="20"/>
        </w:rPr>
        <w:t>Philippine scholarship references provide operational examples for eligibility, documentary proof, award agreements, continuing academic requirements, monitoring, and benefit releases.</w:t>
      </w:r>
    </w:p>
    <w:p>
      <w:pPr>
        <w:pStyle w:val="ListBullet"/>
        <w:spacing w:after="60" w:line="264" w:lineRule="auto"/>
      </w:pPr>
      <w:r>
        <w:rPr>
          <w:rFonts w:ascii="Aptos" w:hAnsi="Aptos"/>
          <w:color w:val="071326"/>
          <w:sz w:val="20"/>
        </w:rPr>
        <w:t>Technical references guide authorization, validation, file handling, audit logging, asynchronous work, accessibility, and payment confirmation.</w:t>
      </w:r>
    </w:p>
    <w:p>
      <w:pPr>
        <w:pStyle w:val="ListBullet"/>
        <w:spacing w:after="60" w:line="264" w:lineRule="auto"/>
      </w:pPr>
      <w:r>
        <w:rPr>
          <w:rFonts w:ascii="Aptos" w:hAnsi="Aptos"/>
          <w:color w:val="071326"/>
          <w:sz w:val="20"/>
        </w:rPr>
        <w:t>Platform rules translate these principles into a configurable system for many independent scholarship providers.</w:t>
      </w:r>
    </w:p>
    <w:p>
      <w:pPr>
        <w:pStyle w:val="Heading2"/>
        <w:keepNext/>
      </w:pPr>
      <w:r>
        <w:t>Contents</w:t>
      </w:r>
    </w:p>
    <w:p>
      <w:pPr>
        <w:spacing w:after="40"/>
      </w:pPr>
      <w:r>
        <w:rPr>
          <w:rFonts w:ascii="Aptos" w:hAnsi="Aptos"/>
          <w:color w:val="071326"/>
          <w:sz w:val="19"/>
        </w:rPr>
        <w:t>1  Process reference map</w:t>
      </w:r>
    </w:p>
    <w:p>
      <w:pPr>
        <w:spacing w:after="40"/>
      </w:pPr>
      <w:r>
        <w:rPr>
          <w:rFonts w:ascii="Aptos" w:hAnsi="Aptos"/>
          <w:color w:val="071326"/>
          <w:sz w:val="19"/>
        </w:rPr>
        <w:t>2  Applicant and application processes</w:t>
      </w:r>
    </w:p>
    <w:p>
      <w:pPr>
        <w:spacing w:after="40"/>
      </w:pPr>
      <w:r>
        <w:rPr>
          <w:rFonts w:ascii="Aptos" w:hAnsi="Aptos"/>
          <w:color w:val="071326"/>
          <w:sz w:val="19"/>
        </w:rPr>
        <w:t>3  Provider program and selection processes</w:t>
      </w:r>
    </w:p>
    <w:p>
      <w:pPr>
        <w:spacing w:after="40"/>
      </w:pPr>
      <w:r>
        <w:rPr>
          <w:rFonts w:ascii="Aptos" w:hAnsi="Aptos"/>
          <w:color w:val="071326"/>
          <w:sz w:val="19"/>
        </w:rPr>
        <w:t>4  Recipient monitoring and benefit processes</w:t>
      </w:r>
    </w:p>
    <w:p>
      <w:pPr>
        <w:spacing w:after="40"/>
      </w:pPr>
      <w:r>
        <w:rPr>
          <w:rFonts w:ascii="Aptos" w:hAnsi="Aptos"/>
          <w:color w:val="071326"/>
          <w:sz w:val="19"/>
        </w:rPr>
        <w:t>5  Administrator and oversight processes</w:t>
      </w:r>
    </w:p>
    <w:p>
      <w:pPr>
        <w:spacing w:after="40"/>
      </w:pPr>
      <w:r>
        <w:rPr>
          <w:rFonts w:ascii="Aptos" w:hAnsi="Aptos"/>
          <w:color w:val="071326"/>
          <w:sz w:val="19"/>
        </w:rPr>
        <w:t>6  Supporting technical processes</w:t>
      </w:r>
    </w:p>
    <w:p>
      <w:pPr>
        <w:spacing w:after="40"/>
      </w:pPr>
      <w:r>
        <w:rPr>
          <w:rFonts w:ascii="Aptos" w:hAnsi="Aptos"/>
          <w:color w:val="071326"/>
          <w:sz w:val="19"/>
        </w:rPr>
        <w:t>7  Platform-specific design decisions</w:t>
      </w:r>
    </w:p>
    <w:p>
      <w:pPr>
        <w:spacing w:after="40"/>
      </w:pPr>
      <w:r>
        <w:rPr>
          <w:rFonts w:ascii="Aptos" w:hAnsi="Aptos"/>
          <w:color w:val="071326"/>
          <w:sz w:val="19"/>
        </w:rPr>
        <w:t>8  Implementation anchors</w:t>
      </w:r>
    </w:p>
    <w:p>
      <w:pPr>
        <w:spacing w:after="40"/>
      </w:pPr>
      <w:r>
        <w:rPr>
          <w:rFonts w:ascii="Aptos" w:hAnsi="Aptos"/>
          <w:color w:val="071326"/>
          <w:sz w:val="19"/>
        </w:rPr>
        <w:t>9  Reference list</w:t>
      </w:r>
    </w:p>
    <w:p>
      <w:r>
        <w:br w:type="page"/>
      </w:r>
    </w:p>
    <w:p>
      <w:pPr>
        <w:pStyle w:val="Heading1"/>
        <w:keepNext/>
      </w:pPr>
      <w:r>
        <w:t>1 Process reference map</w:t>
      </w:r>
    </w:p>
    <w:p>
      <w:pPr>
        <w:spacing w:after="140" w:line="274" w:lineRule="auto"/>
      </w:pPr>
      <w:r>
        <w:rPr>
          <w:rFonts w:ascii="Aptos" w:hAnsi="Aptos"/>
          <w:color w:val="071326"/>
          <w:sz w:val="20"/>
        </w:rPr>
        <w:t>The matrix below shows which sources informed each process family, what principle was adopted, and which behavior is specific to Find Scholarship Online. A reference basis supports the process concept; it does not mean that an external organization endorses the system or requires its exact implementation.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071326"/>
          </w:tcPr>
          <w:p>
            <w:pPr>
              <w:spacing w:after="0" w:line="252" w:lineRule="auto"/>
            </w:pPr>
            <w:r>
              <w:rPr>
                <w:rFonts w:ascii="Aptos" w:hAnsi="Aptos"/>
                <w:b/>
                <w:color w:val="FFFFFF"/>
                <w:sz w:val="16"/>
              </w:rPr>
              <w:t>Process family</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071326"/>
          </w:tcPr>
          <w:p>
            <w:pPr>
              <w:spacing w:after="0" w:line="252" w:lineRule="auto"/>
            </w:pPr>
            <w:r>
              <w:rPr>
                <w:rFonts w:ascii="Aptos" w:hAnsi="Aptos"/>
                <w:b/>
                <w:color w:val="FFFFFF"/>
                <w:sz w:val="16"/>
              </w:rPr>
              <w:t>Reference basis</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071326"/>
          </w:tcPr>
          <w:p>
            <w:pPr>
              <w:spacing w:after="0" w:line="252" w:lineRule="auto"/>
            </w:pPr>
            <w:r>
              <w:rPr>
                <w:rFonts w:ascii="Aptos" w:hAnsi="Aptos"/>
                <w:b/>
                <w:color w:val="FFFFFF"/>
                <w:sz w:val="16"/>
              </w:rPr>
              <w:t>Principle adopted</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071326"/>
          </w:tcPr>
          <w:p>
            <w:pPr>
              <w:spacing w:after="0" w:line="252" w:lineRule="auto"/>
            </w:pPr>
            <w:r>
              <w:rPr>
                <w:rFonts w:ascii="Aptos" w:hAnsi="Aptos"/>
                <w:b/>
                <w:color w:val="FFFFFF"/>
                <w:sz w:val="16"/>
              </w:rPr>
              <w:t>Platform-specific choice</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Account and role access</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NPC privacy and security; OWASP authorization; Laravel authorization</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Separate applicant, provider, specialist, and administrator permissions; block inactive or unapproved access.</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The exact workspace and permission catalog are platform rules.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Provider verification and publication</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CHED and DOST program practices; NPC data minimization</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Verify the organization, require complete program terms, and gate publication until required information is ready.</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Publication readiness fields and approval states are platform rules.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Applicant profile and documents</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CHED application form; DOST e-scholarship modules; OWASP file upload</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Collect identity, education, academic, household, and supporting proof needed for scholarship review.</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 reusable document library and photo-review workflow are platform features.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Eligibility and discovery</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CHED and DOST eligibility examples; NPC transparency</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Show published criteria and explain why a profile may or may not match without making the provider's decision.</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Suitability guidance is advisory and configurable by each program.</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Application and staged selection</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DOST and CHED application practice; OWASP logging</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Use document review, correction, configurable assessment stages, attendance, evidence, and a final recorded outcome.</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The exact stage sequence, multiple sessions, and decision reopening are platform rules.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Recipient agreement</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CHED notices, scholarship contracts, and program guidelines</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Show benefits, obligations, duration, evidence requirements, consequences, and an explicit applicant response.</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Agreement version snapshots and modal presentation are platform features.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Monitoring</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CHED progress-report and continuing-eligibility guidance</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Plan check-ins, collect current records, review results, allow documented adjustments, and record interventions or closure.</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The case-state model and escalation workflow are platform rules.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Benefit release</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CHED disbursement guidance and CoScho benefit examples</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Define an entitlement, schedule a release, record delivery, collect confirmation or issue reports, and resolve discrepancies.</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One-time and recurring entitlement state machines are platform rules.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Provider services and payments</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PayMongo Payment Links and webhook guidance</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Create a hosted payment request and confirm paid status from a server-side event rather than a screenshot alone.</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PayMongo is for provider service purchases, not scholarship-benefit payouts.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Oversight, audit, and retention</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NPC security and records guidance; OWASP logging</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Keep accountable actions, restrict sensitive records, support review, and maintain operational history.</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Retention periods and specialist-admin workspaces are platform policy choices.</w:t>
            </w:r>
          </w:p>
        </w:tc>
      </w:tr>
      <w:tr>
        <w:tc>
          <w:tcPr>
            <w:tcW w:type="dxa" w:w="180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User experience and accessibility</w:t>
            </w:r>
          </w:p>
        </w:tc>
        <w:tc>
          <w:tcPr>
            <w:tcW w:type="dxa" w:w="23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WCAG 2.2</w:t>
            </w:r>
          </w:p>
        </w:tc>
        <w:tc>
          <w:tcPr>
            <w:tcW w:type="dxa" w:w="3168"/>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Use consistent navigation, clear labels, visible status, error assistance, keyboard-friendly controls, and focused pages.</w:t>
            </w:r>
          </w:p>
        </w:tc>
        <w:tc>
          <w:tcPr>
            <w:tcW w:type="dxa" w:w="2592"/>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Progressive disclosure and one-primary-action layouts are product decisions.</w:t>
            </w:r>
          </w:p>
        </w:tc>
      </w:tr>
    </w:tbl>
    <w:p>
      <w:pPr>
        <w:spacing w:after="40"/>
      </w:pPr>
    </w:p>
    <w:p>
      <w:pPr>
        <w:pStyle w:val="Heading1"/>
        <w:keepNext/>
      </w:pPr>
      <w:r>
        <w:t>2 Applicant and application processes</w:t>
      </w:r>
    </w:p>
    <w:p>
      <w:pPr>
        <w:pStyle w:val="Heading2"/>
        <w:keepNext/>
      </w:pPr>
      <w:r>
        <w:t>2.1 Account profile and verification</w:t>
      </w:r>
    </w:p>
    <w:p>
      <w:pPr>
        <w:spacing w:after="140" w:line="274" w:lineRule="auto"/>
      </w:pPr>
      <w:r>
        <w:rPr>
          <w:rFonts w:ascii="Aptos" w:hAnsi="Aptos"/>
          <w:b/>
          <w:color w:val="071326"/>
          <w:sz w:val="20"/>
        </w:rPr>
        <w:t>Current process.</w:t>
      </w:r>
      <w:r>
        <w:rPr>
          <w:rFonts w:ascii="Aptos" w:hAnsi="Aptos"/>
          <w:color w:val="071326"/>
          <w:sz w:val="20"/>
        </w:rPr>
        <w:t xml:space="preserve"> An applicant creates an account, verifies contact information, completes a profile, and provides only the records needed to support identity, education, academic standing, household context, and program-specific claims. Providers see a controlled review view instead of unrestricted account data.</w:t>
      </w:r>
    </w:p>
    <w:p>
      <w:pPr>
        <w:spacing w:after="140" w:line="274" w:lineRule="auto"/>
      </w:pPr>
      <w:r>
        <w:rPr>
          <w:rFonts w:ascii="Aptos" w:hAnsi="Aptos"/>
          <w:b/>
          <w:color w:val="071326"/>
          <w:sz w:val="20"/>
        </w:rPr>
        <w:t>Why this structure is used.</w:t>
      </w:r>
      <w:r>
        <w:rPr>
          <w:rFonts w:ascii="Aptos" w:hAnsi="Aptos"/>
          <w:color w:val="071326"/>
          <w:sz w:val="20"/>
        </w:rPr>
        <w:t xml:space="preserve"> CHED application materials and DOST-SEI online guidance show that scholarship review commonly relies on personal information, school data, grades, income or household evidence, and uploaded requirements. The NPC rules require transparency, proportionality, legitimate purpose, access control, retention limits, and appropriate safeguards for this data.</w:t>
      </w:r>
    </w:p>
    <w:p>
      <w:pPr>
        <w:spacing w:after="140" w:line="274" w:lineRule="auto"/>
      </w:pPr>
      <w:r>
        <w:rPr>
          <w:rFonts w:ascii="Aptos" w:hAnsi="Aptos"/>
          <w:b/>
          <w:color w:val="071326"/>
          <w:sz w:val="20"/>
        </w:rPr>
        <w:t>Boundary.</w:t>
      </w:r>
      <w:r>
        <w:rPr>
          <w:rFonts w:ascii="Aptos" w:hAnsi="Aptos"/>
          <w:color w:val="071326"/>
          <w:sz w:val="20"/>
        </w:rPr>
        <w:t xml:space="preserve"> Disciplinary or misconduct records are not collected by default. Education and offense-related information can be sensitive personal information. If a provider genuinely requires an additional record, it should define the lawful purpose, necessity, access limits, applicant notice, retention period, and review procedure before the field is added.</w:t>
      </w:r>
    </w:p>
    <w:p>
      <w:pPr>
        <w:spacing w:before="20" w:after="180"/>
      </w:pPr>
      <w:r>
        <w:rPr>
          <w:rFonts w:ascii="Aptos" w:hAnsi="Aptos"/>
          <w:b/>
          <w:color w:val="4E627A"/>
          <w:sz w:val="18"/>
        </w:rPr>
        <w:t xml:space="preserve">Reference basis: </w:t>
      </w:r>
      <w:r>
        <w:rPr>
          <w:rFonts w:ascii="Aptos" w:hAnsi="Aptos"/>
          <w:i/>
          <w:color w:val="4E627A"/>
          <w:sz w:val="18"/>
        </w:rPr>
        <w:t>[1], [2], [3], [10], [13], and [14]</w:t>
      </w:r>
    </w:p>
    <w:p>
      <w:pPr>
        <w:pStyle w:val="Heading2"/>
        <w:keepNext/>
      </w:pPr>
      <w:r>
        <w:t>2.2 Scholarship discovery and eligibility guidance</w:t>
      </w:r>
    </w:p>
    <w:p>
      <w:pPr>
        <w:spacing w:after="140" w:line="274" w:lineRule="auto"/>
      </w:pPr>
      <w:r>
        <w:rPr>
          <w:rFonts w:ascii="Aptos" w:hAnsi="Aptos"/>
          <w:b/>
          <w:color w:val="071326"/>
          <w:sz w:val="20"/>
        </w:rPr>
        <w:t>Current process.</w:t>
      </w:r>
      <w:r>
        <w:rPr>
          <w:rFonts w:ascii="Aptos" w:hAnsi="Aptos"/>
          <w:color w:val="071326"/>
          <w:sz w:val="20"/>
        </w:rPr>
        <w:t xml:space="preserve"> Applicants browse published programs, review award and provider information, compare their saved profile against structured rules, and receive guidance about likely matches. The provider still owns the qualification and award decision.</w:t>
      </w:r>
    </w:p>
    <w:p>
      <w:pPr>
        <w:spacing w:after="140" w:line="274" w:lineRule="auto"/>
      </w:pPr>
      <w:r>
        <w:rPr>
          <w:rFonts w:ascii="Aptos" w:hAnsi="Aptos"/>
          <w:b/>
          <w:color w:val="071326"/>
          <w:sz w:val="20"/>
        </w:rPr>
        <w:t>Why this structure is used.</w:t>
      </w:r>
      <w:r>
        <w:rPr>
          <w:rFonts w:ascii="Aptos" w:hAnsi="Aptos"/>
          <w:color w:val="071326"/>
          <w:sz w:val="20"/>
        </w:rPr>
        <w:t xml:space="preserve"> CHED and DOST-SEI programs publish defined eligibility and documentary requirements. The platform converts those published rules into clear filters and explanations, but avoids presenting automated guidance as a final decision. This supports transparency and reduces avoidable applications without replacing human review.</w:t>
      </w:r>
    </w:p>
    <w:p>
      <w:pPr>
        <w:spacing w:before="20" w:after="180"/>
      </w:pPr>
      <w:r>
        <w:rPr>
          <w:rFonts w:ascii="Aptos" w:hAnsi="Aptos"/>
          <w:b/>
          <w:color w:val="4E627A"/>
          <w:sz w:val="18"/>
        </w:rPr>
        <w:t xml:space="preserve">Reference basis: </w:t>
      </w:r>
      <w:r>
        <w:rPr>
          <w:rFonts w:ascii="Aptos" w:hAnsi="Aptos"/>
          <w:i/>
          <w:color w:val="4E627A"/>
          <w:sz w:val="18"/>
        </w:rPr>
        <w:t>[1], [3], and [4]</w:t>
      </w:r>
    </w:p>
    <w:p>
      <w:pPr>
        <w:pStyle w:val="Heading2"/>
        <w:keepNext/>
      </w:pPr>
      <w:r>
        <w:t>2.3 Submission correction and status tracking</w:t>
      </w:r>
    </w:p>
    <w:p>
      <w:pPr>
        <w:spacing w:after="140" w:line="274" w:lineRule="auto"/>
      </w:pPr>
      <w:r>
        <w:rPr>
          <w:rFonts w:ascii="Aptos" w:hAnsi="Aptos"/>
          <w:b/>
          <w:color w:val="071326"/>
          <w:sz w:val="20"/>
        </w:rPr>
        <w:t>Current process.</w:t>
      </w:r>
      <w:r>
        <w:rPr>
          <w:rFonts w:ascii="Aptos" w:hAnsi="Aptos"/>
          <w:color w:val="071326"/>
          <w:sz w:val="20"/>
        </w:rPr>
        <w:t xml:space="preserve"> An applicant submits one application record, the system saves a snapshot of the program and profile used at submission, and the provider reviews documents. A correction request identifies the specific problem and returns the application to the applicant without silently changing the decision. The applicant sees one current action, focused sections, and a history record.</w:t>
      </w:r>
    </w:p>
    <w:p>
      <w:pPr>
        <w:spacing w:after="140" w:line="274" w:lineRule="auto"/>
      </w:pPr>
      <w:r>
        <w:rPr>
          <w:rFonts w:ascii="Aptos" w:hAnsi="Aptos"/>
          <w:b/>
          <w:color w:val="071326"/>
          <w:sz w:val="20"/>
        </w:rPr>
        <w:t>Why this structure is used.</w:t>
      </w:r>
      <w:r>
        <w:rPr>
          <w:rFonts w:ascii="Aptos" w:hAnsi="Aptos"/>
          <w:color w:val="071326"/>
          <w:sz w:val="20"/>
        </w:rPr>
        <w:t xml:space="preserve"> DOST-SEI describes module completion, uploaded requirements, completion status, and later validation of physical records. OWASP recommends server-side validation, controlled uploads, and logging of high-risk business actions. WCAG supports clear instructions, error identification, predictable navigation, and status messages.</w:t>
      </w:r>
    </w:p>
    <w:p>
      <w:pPr>
        <w:spacing w:before="20" w:after="180"/>
      </w:pPr>
      <w:r>
        <w:rPr>
          <w:rFonts w:ascii="Aptos" w:hAnsi="Aptos"/>
          <w:b/>
          <w:color w:val="4E627A"/>
          <w:sz w:val="18"/>
        </w:rPr>
        <w:t xml:space="preserve">Reference basis: </w:t>
      </w:r>
      <w:r>
        <w:rPr>
          <w:rFonts w:ascii="Aptos" w:hAnsi="Aptos"/>
          <w:i/>
          <w:color w:val="4E627A"/>
          <w:sz w:val="18"/>
        </w:rPr>
        <w:t>[3], [10], [11], [13], [14], and [16]</w:t>
      </w:r>
    </w:p>
    <w:p>
      <w:pPr>
        <w:pStyle w:val="Heading1"/>
        <w:keepNext/>
      </w:pPr>
      <w:r>
        <w:t>3 Provider program and selection processes</w:t>
      </w:r>
    </w:p>
    <w:p>
      <w:pPr>
        <w:pStyle w:val="Heading2"/>
        <w:keepNext/>
      </w:pPr>
      <w:r>
        <w:t>3.1 Provider verification and program publication</w:t>
      </w:r>
    </w:p>
    <w:p>
      <w:pPr>
        <w:spacing w:after="140" w:line="274" w:lineRule="auto"/>
      </w:pPr>
      <w:r>
        <w:rPr>
          <w:rFonts w:ascii="Aptos" w:hAnsi="Aptos"/>
          <w:b/>
          <w:color w:val="071326"/>
          <w:sz w:val="20"/>
        </w:rPr>
        <w:t>Current process.</w:t>
      </w:r>
      <w:r>
        <w:rPr>
          <w:rFonts w:ascii="Aptos" w:hAnsi="Aptos"/>
          <w:color w:val="071326"/>
          <w:sz w:val="20"/>
        </w:rPr>
        <w:t xml:space="preserve"> A provider completes its organization profile, supplies verification evidence, assigns staff roles, and creates a program draft. Publication is blocked until the provider is active, email-verified, approved, supported by reviewed verification proof, and the program contains required eligibility, award, application, selection, contact, and agreement information.</w:t>
      </w:r>
    </w:p>
    <w:p>
      <w:pPr>
        <w:spacing w:after="140" w:line="274" w:lineRule="auto"/>
      </w:pPr>
      <w:r>
        <w:rPr>
          <w:rFonts w:ascii="Aptos" w:hAnsi="Aptos"/>
          <w:b/>
          <w:color w:val="071326"/>
          <w:sz w:val="20"/>
        </w:rPr>
        <w:t>Why this structure is used.</w:t>
      </w:r>
      <w:r>
        <w:rPr>
          <w:rFonts w:ascii="Aptos" w:hAnsi="Aptos"/>
          <w:color w:val="071326"/>
          <w:sz w:val="20"/>
        </w:rPr>
        <w:t xml:space="preserve"> Applicants need a clear accountable provider, complete published rules, and understandable award terms. NPC security principles support controlled access by assigned personnel. The exact readiness checklist is a platform safeguard rather than a rule copied from CHED or DOST.</w:t>
      </w:r>
    </w:p>
    <w:p>
      <w:pPr>
        <w:spacing w:before="20" w:after="180"/>
      </w:pPr>
      <w:r>
        <w:rPr>
          <w:rFonts w:ascii="Aptos" w:hAnsi="Aptos"/>
          <w:b/>
          <w:color w:val="4E627A"/>
          <w:sz w:val="18"/>
        </w:rPr>
        <w:t xml:space="preserve">Reference basis: </w:t>
      </w:r>
      <w:r>
        <w:rPr>
          <w:rFonts w:ascii="Aptos" w:hAnsi="Aptos"/>
          <w:i/>
          <w:color w:val="4E627A"/>
          <w:sz w:val="18"/>
        </w:rPr>
        <w:t>[1], [3], [4], [9], and [12]</w:t>
      </w:r>
    </w:p>
    <w:p>
      <w:pPr>
        <w:pStyle w:val="Heading2"/>
        <w:keepNext/>
      </w:pPr>
      <w:r>
        <w:t>3.2 Configurable selection workflow</w:t>
      </w:r>
    </w:p>
    <w:p>
      <w:pPr>
        <w:spacing w:after="140" w:line="274" w:lineRule="auto"/>
      </w:pPr>
      <w:r>
        <w:rPr>
          <w:rFonts w:ascii="Aptos" w:hAnsi="Aptos"/>
          <w:color w:val="071326"/>
          <w:sz w:val="20"/>
        </w:rPr>
        <w:t>The provider configures only the stages the program actually uses. The default lifecycle is:</w:t>
      </w:r>
    </w:p>
    <w:p>
      <w:pPr>
        <w:pStyle w:val="ListNumber"/>
        <w:spacing w:after="60" w:line="264" w:lineRule="auto"/>
      </w:pPr>
      <w:r>
        <w:rPr>
          <w:rFonts w:ascii="Aptos" w:hAnsi="Aptos"/>
          <w:color w:val="071326"/>
          <w:sz w:val="20"/>
        </w:rPr>
        <w:t>Submission and pre-screening review.</w:t>
      </w:r>
    </w:p>
    <w:p>
      <w:pPr>
        <w:pStyle w:val="ListNumber"/>
        <w:spacing w:after="60" w:line="264" w:lineRule="auto"/>
      </w:pPr>
      <w:r>
        <w:rPr>
          <w:rFonts w:ascii="Aptos" w:hAnsi="Aptos"/>
          <w:color w:val="071326"/>
          <w:sz w:val="20"/>
        </w:rPr>
        <w:t>Optional formal application handoff or provider instructions.</w:t>
      </w:r>
    </w:p>
    <w:p>
      <w:pPr>
        <w:pStyle w:val="ListNumber"/>
        <w:spacing w:after="60" w:line="264" w:lineRule="auto"/>
      </w:pPr>
      <w:r>
        <w:rPr>
          <w:rFonts w:ascii="Aptos" w:hAnsi="Aptos"/>
          <w:color w:val="071326"/>
          <w:sz w:val="20"/>
        </w:rPr>
        <w:t>Optional examination, interview, or another published selection activity.</w:t>
      </w:r>
    </w:p>
    <w:p>
      <w:pPr>
        <w:pStyle w:val="ListNumber"/>
        <w:spacing w:after="60" w:line="264" w:lineRule="auto"/>
      </w:pPr>
      <w:r>
        <w:rPr>
          <w:rFonts w:ascii="Aptos" w:hAnsi="Aptos"/>
          <w:color w:val="071326"/>
          <w:sz w:val="20"/>
        </w:rPr>
        <w:t>Final decision recorded as selected, waitlisted, or not selected.</w:t>
      </w:r>
    </w:p>
    <w:p>
      <w:pPr>
        <w:spacing w:after="140" w:line="274" w:lineRule="auto"/>
      </w:pPr>
      <w:r>
        <w:rPr>
          <w:rFonts w:ascii="Aptos" w:hAnsi="Aptos"/>
          <w:b/>
          <w:color w:val="071326"/>
          <w:sz w:val="20"/>
        </w:rPr>
        <w:t>Operational controls.</w:t>
      </w:r>
      <w:r>
        <w:rPr>
          <w:rFonts w:ascii="Aptos" w:hAnsi="Aptos"/>
          <w:color w:val="071326"/>
          <w:sz w:val="20"/>
        </w:rPr>
        <w:t xml:space="preserve"> Scheduled stages can have multiple sessions, dates, methods, meeting links, venues, capacity limits, assigned applicants, attendance, shared or applicant-specific evidence, completion, rescheduling, and cancellation. A stage result cannot be recorded while the application is at another stage or while a correction is unresolved.</w:t>
      </w:r>
    </w:p>
    <w:p>
      <w:pPr>
        <w:spacing w:after="140" w:line="274" w:lineRule="auto"/>
      </w:pPr>
      <w:r>
        <w:rPr>
          <w:rFonts w:ascii="Aptos" w:hAnsi="Aptos"/>
          <w:b/>
          <w:color w:val="071326"/>
          <w:sz w:val="20"/>
        </w:rPr>
        <w:t>Why this structure is used.</w:t>
      </w:r>
      <w:r>
        <w:rPr>
          <w:rFonts w:ascii="Aptos" w:hAnsi="Aptos"/>
          <w:color w:val="071326"/>
          <w:sz w:val="20"/>
        </w:rPr>
        <w:t xml:space="preserve"> Scholarship programs differ: some rely only on document review, while others include examinations, interviews, or provider-managed verification. The external references establish eligibility and documentary review patterns; the multi-session operational model is a custom design for fairness, scale, and auditability.</w:t>
      </w:r>
    </w:p>
    <w:p>
      <w:pPr>
        <w:spacing w:before="20" w:after="180"/>
      </w:pPr>
      <w:r>
        <w:rPr>
          <w:rFonts w:ascii="Aptos" w:hAnsi="Aptos"/>
          <w:b/>
          <w:color w:val="4E627A"/>
          <w:sz w:val="18"/>
        </w:rPr>
        <w:t xml:space="preserve">Reference basis: </w:t>
      </w:r>
      <w:r>
        <w:rPr>
          <w:rFonts w:ascii="Aptos" w:hAnsi="Aptos"/>
          <w:i/>
          <w:color w:val="4E627A"/>
          <w:sz w:val="18"/>
        </w:rPr>
        <w:t>[2], [3], [4], and [11]</w:t>
      </w:r>
    </w:p>
    <w:p>
      <w:pPr>
        <w:pStyle w:val="Heading2"/>
        <w:keepNext/>
      </w:pPr>
      <w:r>
        <w:t>3.3 Evidence decisions and controlled reopening</w:t>
      </w:r>
    </w:p>
    <w:p>
      <w:pPr>
        <w:spacing w:after="140" w:line="274" w:lineRule="auto"/>
      </w:pPr>
      <w:r>
        <w:rPr>
          <w:rFonts w:ascii="Aptos" w:hAnsi="Aptos"/>
          <w:b/>
          <w:color w:val="071326"/>
          <w:sz w:val="20"/>
        </w:rPr>
        <w:t>Current process.</w:t>
      </w:r>
      <w:r>
        <w:rPr>
          <w:rFonts w:ascii="Aptos" w:hAnsi="Aptos"/>
          <w:color w:val="071326"/>
          <w:sz w:val="20"/>
        </w:rPr>
        <w:t xml:space="preserve"> Providers record the outcome, decision reason, responsible actor, and supporting stage evidence. If a result was entered incorrectly, an authorized user can reopen the latest eligible decision with a reason. Later stages are reset or affected schedules are cancelled to prevent contradictory records. Selected outcomes cannot be casually reopened after the recipient has accepted terms or support has already started.</w:t>
      </w:r>
    </w:p>
    <w:p>
      <w:pPr>
        <w:spacing w:after="140" w:line="274" w:lineRule="auto"/>
      </w:pPr>
      <w:r>
        <w:rPr>
          <w:rFonts w:ascii="Aptos" w:hAnsi="Aptos"/>
          <w:b/>
          <w:color w:val="071326"/>
          <w:sz w:val="20"/>
        </w:rPr>
        <w:t>Why this structure is used.</w:t>
      </w:r>
      <w:r>
        <w:rPr>
          <w:rFonts w:ascii="Aptos" w:hAnsi="Aptos"/>
          <w:color w:val="071326"/>
          <w:sz w:val="20"/>
        </w:rPr>
        <w:t xml:space="preserve"> The audit and least-privilege principles come from NPC and OWASP guidance. The exact reopening rules are custom controls added to correct mistakes without deleting history or creating impossible process states.</w:t>
      </w:r>
    </w:p>
    <w:p>
      <w:pPr>
        <w:spacing w:before="20" w:after="180"/>
      </w:pPr>
      <w:r>
        <w:rPr>
          <w:rFonts w:ascii="Aptos" w:hAnsi="Aptos"/>
          <w:b/>
          <w:color w:val="4E627A"/>
          <w:sz w:val="18"/>
        </w:rPr>
        <w:t xml:space="preserve">Reference basis: </w:t>
      </w:r>
      <w:r>
        <w:rPr>
          <w:rFonts w:ascii="Aptos" w:hAnsi="Aptos"/>
          <w:i/>
          <w:color w:val="4E627A"/>
          <w:sz w:val="18"/>
        </w:rPr>
        <w:t>[1], [9], and [11]</w:t>
      </w:r>
    </w:p>
    <w:p>
      <w:pPr>
        <w:pStyle w:val="Heading1"/>
        <w:keepNext/>
      </w:pPr>
      <w:r>
        <w:t>4 Recipient monitoring and benefit processes</w:t>
      </w:r>
    </w:p>
    <w:p>
      <w:pPr>
        <w:pStyle w:val="Heading2"/>
        <w:keepNext/>
      </w:pPr>
      <w:r>
        <w:t>4.1 Recipient agreement and support activation</w:t>
      </w:r>
    </w:p>
    <w:p>
      <w:pPr>
        <w:spacing w:after="140" w:line="274" w:lineRule="auto"/>
      </w:pPr>
      <w:r>
        <w:rPr>
          <w:rFonts w:ascii="Aptos" w:hAnsi="Aptos"/>
          <w:b/>
          <w:color w:val="071326"/>
          <w:sz w:val="20"/>
        </w:rPr>
        <w:t>Current process.</w:t>
      </w:r>
      <w:r>
        <w:rPr>
          <w:rFonts w:ascii="Aptos" w:hAnsi="Aptos"/>
          <w:color w:val="071326"/>
          <w:sz w:val="20"/>
        </w:rPr>
        <w:t xml:space="preserve"> A selected applicant receives the complete recipient agreement before support begins. It identifies benefits, duration, responsibilities, required evidence, release conditions, consequences, and an exception or exit path. Acceptance activates eligible monitoring cases and benefit entitlements; decline records the response without pretending support started.</w:t>
      </w:r>
    </w:p>
    <w:p>
      <w:pPr>
        <w:spacing w:after="140" w:line="274" w:lineRule="auto"/>
      </w:pPr>
      <w:r>
        <w:rPr>
          <w:rFonts w:ascii="Aptos" w:hAnsi="Aptos"/>
          <w:b/>
          <w:color w:val="071326"/>
          <w:sz w:val="20"/>
        </w:rPr>
        <w:t>Why this structure is used.</w:t>
      </w:r>
      <w:r>
        <w:rPr>
          <w:rFonts w:ascii="Aptos" w:hAnsi="Aptos"/>
          <w:color w:val="071326"/>
          <w:sz w:val="20"/>
        </w:rPr>
        <w:t xml:space="preserve"> CHED scholarship references use notices of award and scholarship contracts, while program guidelines describe both grantor and grantee duties. Saving a versioned agreement snapshot is a custom method of preserving exactly what the applicant reviewed.</w:t>
      </w:r>
    </w:p>
    <w:p>
      <w:pPr>
        <w:spacing w:before="20" w:after="180"/>
      </w:pPr>
      <w:r>
        <w:rPr>
          <w:rFonts w:ascii="Aptos" w:hAnsi="Aptos"/>
          <w:b/>
          <w:color w:val="4E627A"/>
          <w:sz w:val="18"/>
        </w:rPr>
        <w:t xml:space="preserve">Reference basis: </w:t>
      </w:r>
      <w:r>
        <w:rPr>
          <w:rFonts w:ascii="Aptos" w:hAnsi="Aptos"/>
          <w:i/>
          <w:color w:val="4E627A"/>
          <w:sz w:val="18"/>
        </w:rPr>
        <w:t>[4], [5], [6], and [7]</w:t>
      </w:r>
    </w:p>
    <w:p>
      <w:pPr>
        <w:pStyle w:val="Heading2"/>
        <w:keepNext/>
      </w:pPr>
      <w:r>
        <w:t>4.2 Monitoring plan and check-in lifecycle</w:t>
      </w:r>
    </w:p>
    <w:p>
      <w:pPr>
        <w:spacing w:after="140" w:line="274" w:lineRule="auto"/>
      </w:pPr>
      <w:r>
        <w:rPr>
          <w:rFonts w:ascii="Aptos" w:hAnsi="Aptos"/>
          <w:color w:val="071326"/>
          <w:sz w:val="20"/>
        </w:rPr>
        <w:t>Monitoring is treated as a case process rather than a single grade upload:</w:t>
      </w:r>
    </w:p>
    <w:p>
      <w:pPr>
        <w:pStyle w:val="ListNumber"/>
        <w:spacing w:after="60" w:line="264" w:lineRule="auto"/>
      </w:pPr>
      <w:r>
        <w:rPr>
          <w:rFonts w:ascii="Aptos" w:hAnsi="Aptos"/>
          <w:color w:val="071326"/>
          <w:sz w:val="20"/>
        </w:rPr>
        <w:t>The provider defines the support period, review frequency, grace period, instructions, exception policy, and required check-in items.</w:t>
      </w:r>
    </w:p>
    <w:p>
      <w:pPr>
        <w:pStyle w:val="ListNumber"/>
        <w:spacing w:after="60" w:line="264" w:lineRule="auto"/>
      </w:pPr>
      <w:r>
        <w:rPr>
          <w:rFonts w:ascii="Aptos" w:hAnsi="Aptos"/>
          <w:color w:val="071326"/>
          <w:sz w:val="20"/>
        </w:rPr>
        <w:t>A monitoring cycle creates a case for each eligible recipient and clearly identifies the due date and current responsibility.</w:t>
      </w:r>
    </w:p>
    <w:p>
      <w:pPr>
        <w:pStyle w:val="ListNumber"/>
        <w:spacing w:after="60" w:line="264" w:lineRule="auto"/>
      </w:pPr>
      <w:r>
        <w:rPr>
          <w:rFonts w:ascii="Aptos" w:hAnsi="Aptos"/>
          <w:color w:val="071326"/>
          <w:sz w:val="20"/>
        </w:rPr>
        <w:t>The recipient submits current grades, enrollment proof, program-activity proof, or another configured requirement. Manual grade entry can supplement a readable record when permitted.</w:t>
      </w:r>
    </w:p>
    <w:p>
      <w:pPr>
        <w:pStyle w:val="ListNumber"/>
        <w:spacing w:after="60" w:line="264" w:lineRule="auto"/>
      </w:pPr>
      <w:r>
        <w:rPr>
          <w:rFonts w:ascii="Aptos" w:hAnsi="Aptos"/>
          <w:color w:val="071326"/>
          <w:sz w:val="20"/>
        </w:rPr>
        <w:t>The provider records each item as met, needs correction, not met, or excused and keeps the supporting file with the review record.</w:t>
      </w:r>
    </w:p>
    <w:p>
      <w:pPr>
        <w:pStyle w:val="ListNumber"/>
        <w:spacing w:after="60" w:line="264" w:lineRule="auto"/>
      </w:pPr>
      <w:r>
        <w:rPr>
          <w:rFonts w:ascii="Aptos" w:hAnsi="Aptos"/>
          <w:color w:val="071326"/>
          <w:sz w:val="20"/>
        </w:rPr>
        <w:t>A recipient may request an adjustment or extension with a reason and optional evidence; the provider records the decision.</w:t>
      </w:r>
    </w:p>
    <w:p>
      <w:pPr>
        <w:pStyle w:val="ListNumber"/>
        <w:spacing w:after="60" w:line="264" w:lineRule="auto"/>
      </w:pPr>
      <w:r>
        <w:rPr>
          <w:rFonts w:ascii="Aptos" w:hAnsi="Aptos"/>
          <w:color w:val="071326"/>
          <w:sz w:val="20"/>
        </w:rPr>
        <w:t>If support is needed, the provider opens an intervention with an owner, due date, action, and completion record.</w:t>
      </w:r>
    </w:p>
    <w:p>
      <w:pPr>
        <w:pStyle w:val="ListNumber"/>
        <w:spacing w:after="60" w:line="264" w:lineRule="auto"/>
      </w:pPr>
      <w:r>
        <w:rPr>
          <w:rFonts w:ascii="Aptos" w:hAnsi="Aptos"/>
          <w:color w:val="071326"/>
          <w:sz w:val="20"/>
        </w:rPr>
        <w:t>The case is closed, waived, cancelled, or reopened through explicit transitions. Closing is blocked while required work remains open.</w:t>
      </w:r>
    </w:p>
    <w:p>
      <w:pPr>
        <w:spacing w:after="140" w:line="274" w:lineRule="auto"/>
      </w:pPr>
      <w:r>
        <w:rPr>
          <w:rFonts w:ascii="Aptos" w:hAnsi="Aptos"/>
          <w:b/>
          <w:color w:val="071326"/>
          <w:sz w:val="20"/>
        </w:rPr>
        <w:t>Why this structure is used.</w:t>
      </w:r>
      <w:r>
        <w:rPr>
          <w:rFonts w:ascii="Aptos" w:hAnsi="Aptos"/>
          <w:color w:val="071326"/>
          <w:sz w:val="20"/>
        </w:rPr>
        <w:t xml:space="preserve"> CHED references describe collecting progress reports, monitoring study progress, reviewing grades and enrollment records, resolving scholar concerns, and handling extensions or leave requests. The detailed case states, adjustment workflow, and intervention ownership are custom controls designed to make that process traceable and manageable for multiple recipients.</w:t>
      </w:r>
    </w:p>
    <w:p>
      <w:pPr>
        <w:spacing w:before="20" w:after="180"/>
      </w:pPr>
      <w:r>
        <w:rPr>
          <w:rFonts w:ascii="Aptos" w:hAnsi="Aptos"/>
          <w:b/>
          <w:color w:val="4E627A"/>
          <w:sz w:val="18"/>
        </w:rPr>
        <w:t xml:space="preserve">Reference basis: </w:t>
      </w:r>
      <w:r>
        <w:rPr>
          <w:rFonts w:ascii="Aptos" w:hAnsi="Aptos"/>
          <w:i/>
          <w:color w:val="4E627A"/>
          <w:sz w:val="18"/>
        </w:rPr>
        <w:t>[5], [6], [7], and [8]</w:t>
      </w:r>
    </w:p>
    <w:p>
      <w:pPr>
        <w:pStyle w:val="Heading2"/>
        <w:keepNext/>
      </w:pPr>
      <w:r>
        <w:t>4.3 One-time and recurring benefit releases</w:t>
      </w:r>
    </w:p>
    <w:p>
      <w:pPr>
        <w:spacing w:after="140" w:line="274" w:lineRule="auto"/>
      </w:pPr>
      <w:r>
        <w:rPr>
          <w:rFonts w:ascii="Aptos" w:hAnsi="Aptos"/>
          <w:b/>
          <w:color w:val="071326"/>
          <w:sz w:val="20"/>
        </w:rPr>
        <w:t>Current process.</w:t>
      </w:r>
      <w:r>
        <w:rPr>
          <w:rFonts w:ascii="Aptos" w:hAnsi="Aptos"/>
          <w:color w:val="071326"/>
          <w:sz w:val="20"/>
        </w:rPr>
        <w:t xml:space="preserve"> The system first establishes what a recipient is entitled to receive. The provider then allocates that entitlement to a scheduled release, records whether it was released or withheld, attaches proof when needed, and requests recipient confirmation. The recipient can confirm receipt or report an issue; the provider records resolution or replacement proof.</w:t>
      </w:r>
    </w:p>
    <w:p>
      <w:pPr>
        <w:spacing w:after="140" w:line="274" w:lineRule="auto"/>
      </w:pPr>
      <w:r>
        <w:rPr>
          <w:rFonts w:ascii="Aptos" w:hAnsi="Aptos"/>
          <w:b/>
          <w:color w:val="071326"/>
          <w:sz w:val="20"/>
        </w:rPr>
        <w:t>One-time support.</w:t>
      </w:r>
      <w:r>
        <w:rPr>
          <w:rFonts w:ascii="Aptos" w:hAnsi="Aptos"/>
          <w:color w:val="071326"/>
          <w:sz w:val="20"/>
        </w:rPr>
        <w:t xml:space="preserve"> A one-time benefit can be scheduled immediately after the agreement is accepted. It does not require a recurring monitoring cycle unless the provider's published terms explicitly make a check-in a release condition. After confirmed fulfillment, the entitlement closes and cannot be released again unless an authorized replacement is required.</w:t>
      </w:r>
    </w:p>
    <w:p>
      <w:pPr>
        <w:spacing w:after="140" w:line="274" w:lineRule="auto"/>
      </w:pPr>
      <w:r>
        <w:rPr>
          <w:rFonts w:ascii="Aptos" w:hAnsi="Aptos"/>
          <w:b/>
          <w:color w:val="071326"/>
          <w:sz w:val="20"/>
        </w:rPr>
        <w:t>Recurring support.</w:t>
      </w:r>
      <w:r>
        <w:rPr>
          <w:rFonts w:ascii="Aptos" w:hAnsi="Aptos"/>
          <w:color w:val="071326"/>
          <w:sz w:val="20"/>
        </w:rPr>
        <w:t xml:space="preserve"> Recurring benefits can be associated with later periods and configured release conditions. Monitoring and release remain separate records so academic review is not confused with financial delivery.</w:t>
      </w:r>
    </w:p>
    <w:p>
      <w:pPr>
        <w:spacing w:before="20" w:after="180"/>
      </w:pPr>
      <w:r>
        <w:rPr>
          <w:rFonts w:ascii="Aptos" w:hAnsi="Aptos"/>
          <w:b/>
          <w:color w:val="4E627A"/>
          <w:sz w:val="18"/>
        </w:rPr>
        <w:t xml:space="preserve">Reference basis: </w:t>
      </w:r>
      <w:r>
        <w:rPr>
          <w:rFonts w:ascii="Aptos" w:hAnsi="Aptos"/>
          <w:i/>
          <w:color w:val="4E627A"/>
          <w:sz w:val="18"/>
        </w:rPr>
        <w:t>[5], [6], and [7]</w:t>
      </w:r>
    </w:p>
    <w:p>
      <w:pPr>
        <w:pStyle w:val="Heading2"/>
        <w:keepNext/>
      </w:pPr>
      <w:r>
        <w:t>4.4 Support outcome exit and exception handling</w:t>
      </w:r>
    </w:p>
    <w:p>
      <w:pPr>
        <w:spacing w:after="140" w:line="274" w:lineRule="auto"/>
      </w:pPr>
      <w:r>
        <w:rPr>
          <w:rFonts w:ascii="Aptos" w:hAnsi="Aptos"/>
          <w:b/>
          <w:color w:val="071326"/>
          <w:sz w:val="20"/>
        </w:rPr>
        <w:t>Current process.</w:t>
      </w:r>
      <w:r>
        <w:rPr>
          <w:rFonts w:ascii="Aptos" w:hAnsi="Aptos"/>
          <w:color w:val="071326"/>
          <w:sz w:val="20"/>
        </w:rPr>
        <w:t xml:space="preserve"> Providers can record support continuation, intervention, suspension, termination, completion, or another configured outcome with a reason and supporting documentation. Applicant responses, exception requests, and resolution proof remain attached to the support record. This separates an academic check-in result from a consequential support decision.</w:t>
      </w:r>
    </w:p>
    <w:p>
      <w:pPr>
        <w:spacing w:after="140" w:line="274" w:lineRule="auto"/>
      </w:pPr>
      <w:r>
        <w:rPr>
          <w:rFonts w:ascii="Aptos" w:hAnsi="Aptos"/>
          <w:b/>
          <w:color w:val="071326"/>
          <w:sz w:val="20"/>
        </w:rPr>
        <w:t>Why this structure is used.</w:t>
      </w:r>
      <w:r>
        <w:rPr>
          <w:rFonts w:ascii="Aptos" w:hAnsi="Aptos"/>
          <w:color w:val="071326"/>
          <w:sz w:val="20"/>
        </w:rPr>
        <w:t xml:space="preserve"> Scholarship guidelines commonly include continuation rules, withdrawal, revocation, extensions, leave, and documented exceptions. The system's exact support-outcome catalog is custom and should be aligned with each provider's published agreement.</w:t>
      </w:r>
    </w:p>
    <w:p>
      <w:pPr>
        <w:spacing w:before="20" w:after="180"/>
      </w:pPr>
      <w:r>
        <w:rPr>
          <w:rFonts w:ascii="Aptos" w:hAnsi="Aptos"/>
          <w:b/>
          <w:color w:val="4E627A"/>
          <w:sz w:val="18"/>
        </w:rPr>
        <w:t xml:space="preserve">Reference basis: </w:t>
      </w:r>
      <w:r>
        <w:rPr>
          <w:rFonts w:ascii="Aptos" w:hAnsi="Aptos"/>
          <w:i/>
          <w:color w:val="4E627A"/>
          <w:sz w:val="18"/>
        </w:rPr>
        <w:t>[5], [6], and [7]</w:t>
      </w:r>
    </w:p>
    <w:p>
      <w:pPr>
        <w:pStyle w:val="Heading1"/>
        <w:keepNext/>
      </w:pPr>
      <w:r>
        <w:t>5 Administrator and oversight processes</w:t>
      </w:r>
    </w:p>
    <w:p>
      <w:pPr>
        <w:spacing w:after="140" w:line="274" w:lineRule="auto"/>
      </w:pPr>
      <w:r>
        <w:rPr>
          <w:rFonts w:ascii="Aptos" w:hAnsi="Aptos"/>
          <w:b/>
          <w:color w:val="071326"/>
          <w:sz w:val="20"/>
        </w:rPr>
        <w:t>Current process.</w:t>
      </w:r>
      <w:r>
        <w:rPr>
          <w:rFonts w:ascii="Aptos" w:hAnsi="Aptos"/>
          <w:color w:val="071326"/>
          <w:sz w:val="20"/>
        </w:rPr>
        <w:t xml:space="preserve"> Administrative responsibilities are separated into account management, review oversight, support, finance, records, portal management, and super-administration. Each workspace exposes the records and actions needed for that role instead of reusing one unrestricted super-admin page.</w:t>
      </w:r>
    </w:p>
    <w:p>
      <w:pPr>
        <w:spacing w:after="140" w:line="274" w:lineRule="auto"/>
      </w:pPr>
      <w:r>
        <w:rPr>
          <w:rFonts w:ascii="Aptos" w:hAnsi="Aptos"/>
          <w:b/>
          <w:color w:val="071326"/>
          <w:sz w:val="20"/>
        </w:rPr>
        <w:t>Purpose.</w:t>
      </w:r>
      <w:r>
        <w:rPr>
          <w:rFonts w:ascii="Aptos" w:hAnsi="Aptos"/>
          <w:color w:val="071326"/>
          <w:sz w:val="20"/>
        </w:rPr>
        <w:t xml:space="preserve"> Role separation reduces accidental access and helps establish accountability. Review officers can inspect provider, program, applicant, monitoring, benefit, or activity evidence within their assigned authority. Support staff manage reported platform problems. Finance and billing staff manage provider-service payments. Records staff handle auditable activity and exports. Super administrators control exceptional platform-wide operations.</w:t>
      </w:r>
    </w:p>
    <w:p>
      <w:pPr>
        <w:spacing w:after="140" w:line="274" w:lineRule="auto"/>
      </w:pPr>
      <w:r>
        <w:rPr>
          <w:rFonts w:ascii="Aptos" w:hAnsi="Aptos"/>
          <w:b/>
          <w:color w:val="071326"/>
          <w:sz w:val="20"/>
        </w:rPr>
        <w:t>Reference basis.</w:t>
      </w:r>
      <w:r>
        <w:rPr>
          <w:rFonts w:ascii="Aptos" w:hAnsi="Aptos"/>
          <w:color w:val="071326"/>
          <w:sz w:val="20"/>
        </w:rPr>
        <w:t xml:space="preserve"> NPC requires organizational and technical safeguards, access management, defined duties, records of processing, and accountability. OWASP recommends least privilege, deny-by-default authorization, and logging of administrative, authorization, file, export, and high-risk business actions.</w:t>
      </w:r>
    </w:p>
    <w:p>
      <w:pPr>
        <w:spacing w:before="20" w:after="180"/>
      </w:pPr>
      <w:r>
        <w:rPr>
          <w:rFonts w:ascii="Aptos" w:hAnsi="Aptos"/>
          <w:b/>
          <w:color w:val="4E627A"/>
          <w:sz w:val="18"/>
        </w:rPr>
        <w:t xml:space="preserve">Reference basis: </w:t>
      </w:r>
      <w:r>
        <w:rPr>
          <w:rFonts w:ascii="Aptos" w:hAnsi="Aptos"/>
          <w:i/>
          <w:color w:val="4E627A"/>
          <w:sz w:val="18"/>
        </w:rPr>
        <w:t>[1], [9], [11], and [12]</w:t>
      </w:r>
    </w:p>
    <w:p>
      <w:pPr>
        <w:pStyle w:val="Heading1"/>
        <w:keepNext/>
      </w:pPr>
      <w:r>
        <w:t>6 Supporting technical processes</w:t>
      </w:r>
    </w:p>
    <w:p>
      <w:pPr>
        <w:pStyle w:val="Heading2"/>
        <w:keepNext/>
      </w:pPr>
      <w:r>
        <w:t>6.1 Authentication authorization and rate limits</w:t>
      </w:r>
    </w:p>
    <w:p>
      <w:pPr>
        <w:spacing w:after="140" w:line="274" w:lineRule="auto"/>
      </w:pPr>
      <w:r>
        <w:rPr>
          <w:rFonts w:ascii="Aptos" w:hAnsi="Aptos"/>
          <w:color w:val="071326"/>
          <w:sz w:val="20"/>
        </w:rPr>
        <w:t>Laravel authentication, middleware, and permission checks provide the implementation base. Routes use authentication, account-status, provider-approval, permission, and throttling controls. The design follows least privilege: successful login does not automatically authorize access to every record or action.</w:t>
      </w:r>
    </w:p>
    <w:p>
      <w:pPr>
        <w:spacing w:before="20" w:after="180"/>
      </w:pPr>
      <w:r>
        <w:rPr>
          <w:rFonts w:ascii="Aptos" w:hAnsi="Aptos"/>
          <w:b/>
          <w:color w:val="4E627A"/>
          <w:sz w:val="18"/>
        </w:rPr>
        <w:t xml:space="preserve">Reference basis: </w:t>
      </w:r>
      <w:r>
        <w:rPr>
          <w:rFonts w:ascii="Aptos" w:hAnsi="Aptos"/>
          <w:i/>
          <w:color w:val="4E627A"/>
          <w:sz w:val="18"/>
        </w:rPr>
        <w:t>[9], [12], and [13]</w:t>
      </w:r>
    </w:p>
    <w:p>
      <w:pPr>
        <w:pStyle w:val="Heading2"/>
        <w:keepNext/>
      </w:pPr>
      <w:r>
        <w:t>6.2 File validation storage and review</w:t>
      </w:r>
    </w:p>
    <w:p>
      <w:pPr>
        <w:spacing w:after="140" w:line="274" w:lineRule="auto"/>
      </w:pPr>
      <w:r>
        <w:rPr>
          <w:rFonts w:ascii="Aptos" w:hAnsi="Aptos"/>
          <w:color w:val="071326"/>
          <w:sz w:val="20"/>
        </w:rPr>
        <w:t>Application, verification, monitoring, activity, benefit, and support files are treated as controlled records. Server-side validation, type and size limits, authorized view/download routes, non-public storage where appropriate, and review status are based on Laravel and OWASP guidance. The system should continue to avoid trusting file extensions or browser-provided content types alone.</w:t>
      </w:r>
    </w:p>
    <w:p>
      <w:pPr>
        <w:spacing w:before="20" w:after="180"/>
      </w:pPr>
      <w:r>
        <w:rPr>
          <w:rFonts w:ascii="Aptos" w:hAnsi="Aptos"/>
          <w:b/>
          <w:color w:val="4E627A"/>
          <w:sz w:val="18"/>
        </w:rPr>
        <w:t xml:space="preserve">Reference basis: </w:t>
      </w:r>
      <w:r>
        <w:rPr>
          <w:rFonts w:ascii="Aptos" w:hAnsi="Aptos"/>
          <w:i/>
          <w:color w:val="4E627A"/>
          <w:sz w:val="18"/>
        </w:rPr>
        <w:t>[10], [13], and [14]</w:t>
      </w:r>
    </w:p>
    <w:p>
      <w:pPr>
        <w:pStyle w:val="Heading2"/>
        <w:keepNext/>
      </w:pPr>
      <w:r>
        <w:t>6.3 Notifications queues schedules and audit history</w:t>
      </w:r>
    </w:p>
    <w:p>
      <w:pPr>
        <w:spacing w:after="140" w:line="274" w:lineRule="auto"/>
      </w:pPr>
      <w:r>
        <w:rPr>
          <w:rFonts w:ascii="Aptos" w:hAnsi="Aptos"/>
          <w:color w:val="071326"/>
          <w:sz w:val="20"/>
        </w:rPr>
        <w:t>Notifications communicate assignment, correction, schedule, decision, monitoring, release, and support events. Queue workers handle background delivery, while scheduled commands handle reminders and maintenance. Deduplication keys reduce repeated alerts. Audit history records material status changes, actors, reasons, and timestamps without exposing internal staff notes to applicants.</w:t>
      </w:r>
    </w:p>
    <w:p>
      <w:pPr>
        <w:spacing w:before="20" w:after="180"/>
      </w:pPr>
      <w:r>
        <w:rPr>
          <w:rFonts w:ascii="Aptos" w:hAnsi="Aptos"/>
          <w:b/>
          <w:color w:val="4E627A"/>
          <w:sz w:val="18"/>
        </w:rPr>
        <w:t xml:space="preserve">Reference basis: </w:t>
      </w:r>
      <w:r>
        <w:rPr>
          <w:rFonts w:ascii="Aptos" w:hAnsi="Aptos"/>
          <w:i/>
          <w:color w:val="4E627A"/>
          <w:sz w:val="18"/>
        </w:rPr>
        <w:t>[1], [11], and [15]</w:t>
      </w:r>
    </w:p>
    <w:p>
      <w:pPr>
        <w:pStyle w:val="Heading2"/>
        <w:keepNext/>
      </w:pPr>
      <w:r>
        <w:t>6.4 Provider services and PayMongo</w:t>
      </w:r>
    </w:p>
    <w:p>
      <w:pPr>
        <w:spacing w:after="140" w:line="274" w:lineRule="auto"/>
      </w:pPr>
      <w:r>
        <w:rPr>
          <w:rFonts w:ascii="Aptos" w:hAnsi="Aptos"/>
          <w:color w:val="071326"/>
          <w:sz w:val="20"/>
        </w:rPr>
        <w:t>Provider service requests use their own intake, review, payment, delivery, meeting, file, update, closeout, and history lifecycle. PayMongo supplies hosted checkout and server-to-server webhook confirmation for purchases. Secret keys remain server-side and signed webhook payloads are verified. This integration is separate from scholarship-benefit release records.</w:t>
      </w:r>
    </w:p>
    <w:p>
      <w:pPr>
        <w:spacing w:before="20" w:after="180"/>
      </w:pPr>
      <w:r>
        <w:rPr>
          <w:rFonts w:ascii="Aptos" w:hAnsi="Aptos"/>
          <w:b/>
          <w:color w:val="4E627A"/>
          <w:sz w:val="18"/>
        </w:rPr>
        <w:t xml:space="preserve">Reference basis: </w:t>
      </w:r>
      <w:r>
        <w:rPr>
          <w:rFonts w:ascii="Aptos" w:hAnsi="Aptos"/>
          <w:i/>
          <w:color w:val="4E627A"/>
          <w:sz w:val="18"/>
        </w:rPr>
        <w:t>[17] and [18]</w:t>
      </w:r>
    </w:p>
    <w:p>
      <w:pPr>
        <w:pStyle w:val="Heading2"/>
        <w:keepNext/>
      </w:pPr>
      <w:r>
        <w:t>6.5 Accessibility and information load</w:t>
      </w:r>
    </w:p>
    <w:p>
      <w:pPr>
        <w:spacing w:after="140" w:line="274" w:lineRule="auto"/>
      </w:pPr>
      <w:r>
        <w:rPr>
          <w:rFonts w:ascii="Aptos" w:hAnsi="Aptos"/>
          <w:color w:val="071326"/>
          <w:sz w:val="20"/>
        </w:rPr>
        <w:t>The interface uses consistent navigation, clear labels, visible focus and status, understandable validation, and responsive applicant pages. Complex records are divided into focused pages and dialogs, with one primary next action where possible. This reflects WCAG principles and the product goal of reducing cognitive load; it is not a claim of certified WCAG conformance.</w:t>
      </w:r>
    </w:p>
    <w:p>
      <w:pPr>
        <w:spacing w:before="20" w:after="180"/>
      </w:pPr>
      <w:r>
        <w:rPr>
          <w:rFonts w:ascii="Aptos" w:hAnsi="Aptos"/>
          <w:b/>
          <w:color w:val="4E627A"/>
          <w:sz w:val="18"/>
        </w:rPr>
        <w:t xml:space="preserve">Reference basis: </w:t>
      </w:r>
      <w:r>
        <w:rPr>
          <w:rFonts w:ascii="Aptos" w:hAnsi="Aptos"/>
          <w:i/>
          <w:color w:val="4E627A"/>
          <w:sz w:val="18"/>
        </w:rPr>
        <w:t>[16]</w:t>
      </w:r>
    </w:p>
    <w:p>
      <w:pPr>
        <w:pStyle w:val="Heading1"/>
        <w:keepNext/>
      </w:pPr>
      <w:r>
        <w:t>7 Platform-specific design decisions</w:t>
      </w:r>
    </w:p>
    <w:p>
      <w:pPr>
        <w:spacing w:after="140" w:line="274" w:lineRule="auto"/>
      </w:pPr>
      <w:r>
        <w:rPr>
          <w:rFonts w:ascii="Aptos" w:hAnsi="Aptos"/>
          <w:color w:val="071326"/>
          <w:sz w:val="20"/>
        </w:rPr>
        <w:t>The following decisions were created for this platform after applying the reference principles. They should be described as system design choices, not as direct CHED, DOST, NPC, OWASP, Laravel, W3C, or PayMongo requirements.</w:t>
      </w:r>
    </w:p>
    <w:p>
      <w:pPr>
        <w:pStyle w:val="ListBullet"/>
        <w:spacing w:after="60" w:line="264" w:lineRule="auto"/>
      </w:pPr>
      <w:r>
        <w:rPr>
          <w:rFonts w:ascii="Aptos" w:hAnsi="Aptos"/>
          <w:color w:val="071326"/>
          <w:sz w:val="20"/>
        </w:rPr>
        <w:t>A configurable selection plan instead of forcing every scholarship to use the same stages.</w:t>
      </w:r>
    </w:p>
    <w:p>
      <w:pPr>
        <w:pStyle w:val="ListBullet"/>
        <w:spacing w:after="60" w:line="264" w:lineRule="auto"/>
      </w:pPr>
      <w:r>
        <w:rPr>
          <w:rFonts w:ascii="Aptos" w:hAnsi="Aptos"/>
          <w:color w:val="071326"/>
          <w:sz w:val="20"/>
        </w:rPr>
        <w:t>Multiple exam or interview sessions with different dates, locations, methods, capacities, and applicant assignments.</w:t>
      </w:r>
    </w:p>
    <w:p>
      <w:pPr>
        <w:pStyle w:val="ListBullet"/>
        <w:spacing w:after="60" w:line="264" w:lineRule="auto"/>
      </w:pPr>
      <w:r>
        <w:rPr>
          <w:rFonts w:ascii="Aptos" w:hAnsi="Aptos"/>
          <w:color w:val="071326"/>
          <w:sz w:val="20"/>
        </w:rPr>
        <w:t>Provider-uploaded evidence and attendance before a scheduled activity can be completed.</w:t>
      </w:r>
    </w:p>
    <w:p>
      <w:pPr>
        <w:pStyle w:val="ListBullet"/>
        <w:spacing w:after="60" w:line="264" w:lineRule="auto"/>
      </w:pPr>
      <w:r>
        <w:rPr>
          <w:rFonts w:ascii="Aptos" w:hAnsi="Aptos"/>
          <w:color w:val="071326"/>
          <w:sz w:val="20"/>
        </w:rPr>
        <w:t>Controlled reopening of the latest eligible stage decision while preserving history.</w:t>
      </w:r>
    </w:p>
    <w:p>
      <w:pPr>
        <w:pStyle w:val="ListBullet"/>
        <w:spacing w:after="60" w:line="264" w:lineRule="auto"/>
      </w:pPr>
      <w:r>
        <w:rPr>
          <w:rFonts w:ascii="Aptos" w:hAnsi="Aptos"/>
          <w:color w:val="071326"/>
          <w:sz w:val="20"/>
        </w:rPr>
        <w:t>Separate role workspaces for provider specialists and administrator specialists.</w:t>
      </w:r>
    </w:p>
    <w:p>
      <w:pPr>
        <w:pStyle w:val="ListBullet"/>
        <w:spacing w:after="60" w:line="264" w:lineRule="auto"/>
      </w:pPr>
      <w:r>
        <w:rPr>
          <w:rFonts w:ascii="Aptos" w:hAnsi="Aptos"/>
          <w:color w:val="071326"/>
          <w:sz w:val="20"/>
        </w:rPr>
        <w:t>A reusable applicant document library and a provider-facing review summary.</w:t>
      </w:r>
    </w:p>
    <w:p>
      <w:pPr>
        <w:pStyle w:val="ListBullet"/>
        <w:spacing w:after="60" w:line="264" w:lineRule="auto"/>
      </w:pPr>
      <w:r>
        <w:rPr>
          <w:rFonts w:ascii="Aptos" w:hAnsi="Aptos"/>
          <w:color w:val="071326"/>
          <w:sz w:val="20"/>
        </w:rPr>
        <w:t>One-primary-action applicant pages and progressive disclosure to limit information overload.</w:t>
      </w:r>
    </w:p>
    <w:p>
      <w:pPr>
        <w:pStyle w:val="ListBullet"/>
        <w:spacing w:after="60" w:line="264" w:lineRule="auto"/>
      </w:pPr>
      <w:r>
        <w:rPr>
          <w:rFonts w:ascii="Aptos" w:hAnsi="Aptos"/>
          <w:color w:val="071326"/>
          <w:sz w:val="20"/>
        </w:rPr>
        <w:t>A monitoring case lifecycle with adjustments, interventions, close, waive, and reopen states.</w:t>
      </w:r>
    </w:p>
    <w:p>
      <w:pPr>
        <w:pStyle w:val="ListBullet"/>
        <w:spacing w:after="60" w:line="264" w:lineRule="auto"/>
      </w:pPr>
      <w:r>
        <w:rPr>
          <w:rFonts w:ascii="Aptos" w:hAnsi="Aptos"/>
          <w:color w:val="071326"/>
          <w:sz w:val="20"/>
        </w:rPr>
        <w:t>Independent benefit entitlement, release, recipient receipt, issue, and resolution records.</w:t>
      </w:r>
    </w:p>
    <w:p>
      <w:pPr>
        <w:pStyle w:val="ListBullet"/>
        <w:spacing w:after="60" w:line="264" w:lineRule="auto"/>
      </w:pPr>
      <w:r>
        <w:rPr>
          <w:rFonts w:ascii="Aptos" w:hAnsi="Aptos"/>
          <w:color w:val="071326"/>
          <w:sz w:val="20"/>
        </w:rPr>
        <w:t>A one-time benefit path that can begin after agreement acceptance without forcing recurring monitoring.</w:t>
      </w:r>
    </w:p>
    <w:p>
      <w:pPr>
        <w:pStyle w:val="ListBullet"/>
        <w:spacing w:after="60" w:line="264" w:lineRule="auto"/>
      </w:pPr>
      <w:r>
        <w:rPr>
          <w:rFonts w:ascii="Aptos" w:hAnsi="Aptos"/>
          <w:color w:val="071326"/>
          <w:sz w:val="20"/>
        </w:rPr>
        <w:t>Application-capacity limits, reviewer assignment, review claims, and bulk operations for provider scale.</w:t>
      </w:r>
    </w:p>
    <w:p>
      <w:pPr>
        <w:pStyle w:val="ListBullet"/>
        <w:spacing w:after="60" w:line="264" w:lineRule="auto"/>
      </w:pPr>
      <w:r>
        <w:rPr>
          <w:rFonts w:ascii="Aptos" w:hAnsi="Aptos"/>
          <w:color w:val="071326"/>
          <w:sz w:val="20"/>
        </w:rPr>
        <w:t>A separate provider-service lifecycle with PayMongo payment confirmation.</w:t>
      </w:r>
    </w:p>
    <w:p>
      <w:pPr>
        <w:pStyle w:val="Heading2"/>
        <w:keepNext/>
      </w:pPr>
      <w:r>
        <w:t>Limits of the references</w:t>
      </w:r>
    </w:p>
    <w:p>
      <w:pPr>
        <w:pStyle w:val="ListBullet"/>
        <w:spacing w:after="60" w:line="264" w:lineRule="auto"/>
      </w:pPr>
      <w:r>
        <w:rPr>
          <w:rFonts w:ascii="Aptos" w:hAnsi="Aptos"/>
          <w:color w:val="071326"/>
          <w:sz w:val="20"/>
        </w:rPr>
        <w:t>Eligibility thresholds such as GWA, income, residency, age, and course are not universal. Each provider must publish and own its criteria.</w:t>
      </w:r>
    </w:p>
    <w:p>
      <w:pPr>
        <w:pStyle w:val="ListBullet"/>
        <w:spacing w:after="60" w:line="264" w:lineRule="auto"/>
      </w:pPr>
      <w:r>
        <w:rPr>
          <w:rFonts w:ascii="Aptos" w:hAnsi="Aptos"/>
          <w:color w:val="071326"/>
          <w:sz w:val="20"/>
        </w:rPr>
        <w:t>Historical CHED issuances are used as operational examples only when a newer program-specific rule may apply.</w:t>
      </w:r>
    </w:p>
    <w:p>
      <w:pPr>
        <w:pStyle w:val="ListBullet"/>
        <w:spacing w:after="60" w:line="264" w:lineRule="auto"/>
      </w:pPr>
      <w:r>
        <w:rPr>
          <w:rFonts w:ascii="Aptos" w:hAnsi="Aptos"/>
          <w:color w:val="071326"/>
          <w:sz w:val="20"/>
        </w:rPr>
        <w:t>The system supports provider decisions but does not certify the truth of uploaded evidence or guarantee an award.</w:t>
      </w:r>
    </w:p>
    <w:p>
      <w:pPr>
        <w:pStyle w:val="ListBullet"/>
        <w:spacing w:after="60" w:line="264" w:lineRule="auto"/>
      </w:pPr>
      <w:r>
        <w:rPr>
          <w:rFonts w:ascii="Aptos" w:hAnsi="Aptos"/>
          <w:color w:val="071326"/>
          <w:sz w:val="20"/>
        </w:rPr>
        <w:t>Legal compliance depends on actual policies, notices, contracts, staff practice, security controls, and retention operations, not only on interface features.</w:t>
      </w:r>
    </w:p>
    <w:p>
      <w:pPr>
        <w:pStyle w:val="ListBullet"/>
        <w:spacing w:after="60" w:line="264" w:lineRule="auto"/>
      </w:pPr>
      <w:r>
        <w:rPr>
          <w:rFonts w:ascii="Aptos" w:hAnsi="Aptos"/>
          <w:color w:val="071326"/>
          <w:sz w:val="20"/>
        </w:rPr>
        <w:t>External issuances and vendor APIs can change. References should be reviewed before a production policy or program is launched.</w:t>
      </w:r>
    </w:p>
    <w:p>
      <w:pPr>
        <w:pStyle w:val="Heading1"/>
        <w:keepNext/>
      </w:pPr>
      <w:r>
        <w:t>8 Implementation anchors</w:t>
      </w:r>
    </w:p>
    <w:p>
      <w:pPr>
        <w:spacing w:after="140" w:line="274" w:lineRule="auto"/>
      </w:pPr>
      <w:r>
        <w:rPr>
          <w:rFonts w:ascii="Aptos" w:hAnsi="Aptos"/>
          <w:color w:val="071326"/>
          <w:sz w:val="20"/>
        </w:rPr>
        <w:t>These repository locations are the primary internal references for how the current process is implemented. They are more authoritative for current system behavior than screenshots or earlier design drafts.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071326"/>
          </w:tcPr>
          <w:p>
            <w:pPr>
              <w:spacing w:after="0" w:line="252" w:lineRule="auto"/>
            </w:pPr>
            <w:r>
              <w:rPr>
                <w:rFonts w:ascii="Aptos" w:hAnsi="Aptos"/>
                <w:b/>
                <w:color w:val="FFFFFF"/>
                <w:sz w:val="16"/>
              </w:rPr>
              <w:t>Implementation anchor</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071326"/>
          </w:tcPr>
          <w:p>
            <w:pPr>
              <w:spacing w:after="0" w:line="252" w:lineRule="auto"/>
            </w:pPr>
            <w:r>
              <w:rPr>
                <w:rFonts w:ascii="Aptos" w:hAnsi="Aptos"/>
                <w:b/>
                <w:color w:val="FFFFFF"/>
                <w:sz w:val="16"/>
              </w:rPr>
              <w:t>Process responsibility</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routes/web.php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Defines applicant, provider, administrator, monitoring, benefit-release, support, and service endpoints with authentication, permission, approval, and throttling middleware.</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app/Services/ApplicationWorkflowService.php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Owns application states, configurable stages, correction handling, final outcomes, withdrawal, and controlled decision reopening.</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app/Services/ApplicationStageOperationsService.php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Owns exam/interview/formal-activity sessions, assignments, capacities, schedules, attendance, evidence, completion, cancellation, and audit events.</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app/Services/ScholarshipPublicationGuard.php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Prevents program publication until provider verification and required program information are complete.</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app/Services/ScholarshipEligibilityService.php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Evaluates structured profile-to-program conditions while leaving the award decision with the provider.</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app/Services/RecipientMonitoringCaseService.php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Owns monitoring case states, due status, adjustment context, interventions, close, waive, and reopen operations.</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app/Services/RecipientBenefitEntitlementService.php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Separates benefit entitlement from release records and tracks one-time or recurring fulfillment, withholding, recipient response, and issue resolution.</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app/Services/PayMongoCheckoutService.php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Creates and retrieves provider-service checkout sessions and verifies webhook signatures.</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app/Http/Middleware/EnsureUserHasPermission.php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Enforces role and permission boundaries for specialized workspaces.</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database/migrations/2026_10_14_000001_create_application_stage_foundation.php</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shd w:fill="F3F6FA"/>
          </w:tcPr>
          <w:p>
            <w:pPr>
              <w:spacing w:after="0" w:line="252" w:lineRule="auto"/>
            </w:pPr>
            <w:r>
              <w:rPr>
                <w:rFonts w:ascii="Aptos" w:hAnsi="Aptos"/>
                <w:b w:val="0"/>
                <w:color w:val="071326"/>
                <w:sz w:val="16"/>
              </w:rPr>
              <w:t>Establishes the operational foundation for staged sessions, assignments, attendance, evidence, and events.</w:t>
            </w:r>
          </w:p>
        </w:tc>
      </w:tr>
      <w:tr>
        <w:tc>
          <w:tcPr>
            <w:tcW w:type="dxa" w:w="3960"/>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database/migrations/2026_10_18_000001 through 000006</w:t>
            </w:r>
          </w:p>
        </w:tc>
        <w:tc>
          <w:tcPr>
            <w:tcW w:type="dxa" w:w="5976"/>
            <w:tcMar>
              <w:top w:w="110" w:type="dxa"/>
              <w:start w:w="120" w:type="dxa"/>
              <w:bottom w:w="11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vAlign w:val="center"/>
          </w:tcPr>
          <w:p>
            <w:pPr>
              <w:spacing w:after="0" w:line="252" w:lineRule="auto"/>
            </w:pPr>
            <w:r>
              <w:rPr>
                <w:rFonts w:ascii="Aptos" w:hAnsi="Aptos"/>
                <w:b w:val="0"/>
                <w:color w:val="071326"/>
                <w:sz w:val="16"/>
              </w:rPr>
              <w:t>Establishes recipient support, benefit entitlement, one-time benefits, monitoring cases, case events, and provider-service lifecycle foundations.</w:t>
            </w:r>
          </w:p>
        </w:tc>
      </w:tr>
    </w:tbl>
    <w:p>
      <w:r>
        <w:br w:type="page"/>
      </w:r>
    </w:p>
    <w:p>
      <w:pPr>
        <w:pStyle w:val="Heading1"/>
        <w:keepNext/>
      </w:pPr>
      <w:r>
        <w:t>9 Reference list</w:t>
      </w:r>
    </w:p>
    <w:p>
      <w:pPr>
        <w:spacing w:after="140" w:line="274" w:lineRule="auto"/>
      </w:pPr>
      <w:r>
        <w:rPr>
          <w:rFonts w:ascii="Aptos" w:hAnsi="Aptos"/>
          <w:color w:val="071326"/>
          <w:sz w:val="20"/>
        </w:rPr>
        <w:t>All web references were reviewed on 20 October 2026. Government and vendor pages should be checked again before using this document as the basis of a new provider policy, legal notice, or production integration.</w:t>
      </w:r>
    </w:p>
    <w:p>
      <w:pPr>
        <w:spacing w:after="120" w:line="259" w:lineRule="auto"/>
        <w:ind w:left="360" w:hanging="360"/>
      </w:pPr>
      <w:r>
        <w:rPr>
          <w:rFonts w:ascii="Aptos" w:hAnsi="Aptos"/>
          <w:b/>
          <w:color w:val="071326"/>
          <w:sz w:val="18"/>
        </w:rPr>
        <w:t xml:space="preserve">[1] National Privacy Commission. </w:t>
      </w:r>
      <w:r>
        <w:rPr>
          <w:rFonts w:ascii="Aptos" w:hAnsi="Aptos"/>
          <w:i/>
          <w:color w:val="071326"/>
          <w:sz w:val="18"/>
        </w:rPr>
        <w:t xml:space="preserve">Implementing Rules and Regulations of Republic Act No. 10173. </w:t>
      </w:r>
      <w:r>
        <w:rPr>
          <w:rFonts w:ascii="Aptos" w:hAnsi="Aptos"/>
          <w:color w:val="071326"/>
          <w:sz w:val="18"/>
        </w:rPr>
        <w:t xml:space="preserve">2016. </w:t>
      </w:r>
      <w:hyperlink r:id="rId11">
        <w:r>
          <w:rPr>
            <w:color w:val="1F5E9C"/>
            <w:u w:val="single"/>
          </w:rPr>
          <w:t>Official source</w:t>
        </w:r>
      </w:hyperlink>
      <w:r>
        <w:rPr>
          <w:rFonts w:ascii="Aptos" w:hAnsi="Aptos"/>
          <w:color w:val="4E627A"/>
          <w:sz w:val="17"/>
        </w:rPr>
        <w:t xml:space="preserve"> Legal and privacy-security foundation.</w:t>
      </w:r>
    </w:p>
    <w:p>
      <w:pPr>
        <w:spacing w:after="120" w:line="259" w:lineRule="auto"/>
        <w:ind w:left="360" w:hanging="360"/>
      </w:pPr>
      <w:r>
        <w:rPr>
          <w:rFonts w:ascii="Aptos" w:hAnsi="Aptos"/>
          <w:b/>
          <w:color w:val="071326"/>
          <w:sz w:val="18"/>
        </w:rPr>
        <w:t xml:space="preserve">[2] Commission on Higher Education. </w:t>
      </w:r>
      <w:r>
        <w:rPr>
          <w:rFonts w:ascii="Aptos" w:hAnsi="Aptos"/>
          <w:i/>
          <w:color w:val="071326"/>
          <w:sz w:val="18"/>
        </w:rPr>
        <w:t xml:space="preserve">CHED Scholarship Program Application Form. </w:t>
      </w:r>
      <w:r>
        <w:rPr>
          <w:rFonts w:ascii="Aptos" w:hAnsi="Aptos"/>
          <w:color w:val="071326"/>
          <w:sz w:val="18"/>
        </w:rPr>
        <w:t xml:space="preserve">2019. </w:t>
      </w:r>
      <w:hyperlink r:id="rId12">
        <w:r>
          <w:rPr>
            <w:color w:val="1F5E9C"/>
            <w:u w:val="single"/>
          </w:rPr>
          <w:t>Official source</w:t>
        </w:r>
      </w:hyperlink>
      <w:r>
        <w:rPr>
          <w:rFonts w:ascii="Aptos" w:hAnsi="Aptos"/>
          <w:color w:val="4E627A"/>
          <w:sz w:val="17"/>
        </w:rPr>
        <w:t xml:space="preserve"> Operational example for applicant, academic, income, documentary, consent, and declaration fields.</w:t>
      </w:r>
    </w:p>
    <w:p>
      <w:pPr>
        <w:spacing w:after="120" w:line="259" w:lineRule="auto"/>
        <w:ind w:left="360" w:hanging="360"/>
      </w:pPr>
      <w:r>
        <w:rPr>
          <w:rFonts w:ascii="Aptos" w:hAnsi="Aptos"/>
          <w:b/>
          <w:color w:val="071326"/>
          <w:sz w:val="18"/>
        </w:rPr>
        <w:t xml:space="preserve">[3] Department of Science and Technology Science Education Institute. </w:t>
      </w:r>
      <w:r>
        <w:rPr>
          <w:rFonts w:ascii="Aptos" w:hAnsi="Aptos"/>
          <w:i/>
          <w:color w:val="071326"/>
          <w:sz w:val="18"/>
        </w:rPr>
        <w:t xml:space="preserve">2027 Undergraduate Scholarship Helpdesk Frequently Asked Questions. </w:t>
      </w:r>
      <w:r>
        <w:rPr>
          <w:rFonts w:ascii="Aptos" w:hAnsi="Aptos"/>
          <w:color w:val="071326"/>
          <w:sz w:val="18"/>
        </w:rPr>
        <w:t xml:space="preserve">2026. </w:t>
      </w:r>
      <w:hyperlink r:id="rId13">
        <w:r>
          <w:rPr>
            <w:color w:val="1F5E9C"/>
            <w:u w:val="single"/>
          </w:rPr>
          <w:t>Official source</w:t>
        </w:r>
      </w:hyperlink>
      <w:r>
        <w:rPr>
          <w:rFonts w:ascii="Aptos" w:hAnsi="Aptos"/>
          <w:color w:val="4E627A"/>
          <w:sz w:val="17"/>
        </w:rPr>
        <w:t xml:space="preserve"> Current example of eligibility, online modules, uploads, progress status, and later document validation.</w:t>
      </w:r>
    </w:p>
    <w:p>
      <w:pPr>
        <w:spacing w:after="120" w:line="259" w:lineRule="auto"/>
        <w:ind w:left="360" w:hanging="360"/>
      </w:pPr>
      <w:r>
        <w:rPr>
          <w:rFonts w:ascii="Aptos" w:hAnsi="Aptos"/>
          <w:b/>
          <w:color w:val="071326"/>
          <w:sz w:val="18"/>
        </w:rPr>
        <w:t xml:space="preserve">[4] Commission on Higher Education. </w:t>
      </w:r>
      <w:r>
        <w:rPr>
          <w:rFonts w:ascii="Aptos" w:hAnsi="Aptos"/>
          <w:i/>
          <w:color w:val="071326"/>
          <w:sz w:val="18"/>
        </w:rPr>
        <w:t xml:space="preserve">CHED Merit Scholarship Program and CMO No. 13 Series of 2025. </w:t>
      </w:r>
      <w:r>
        <w:rPr>
          <w:rFonts w:ascii="Aptos" w:hAnsi="Aptos"/>
          <w:color w:val="071326"/>
          <w:sz w:val="18"/>
        </w:rPr>
        <w:t xml:space="preserve">2025. </w:t>
      </w:r>
      <w:hyperlink r:id="rId14">
        <w:r>
          <w:rPr>
            <w:color w:val="1F5E9C"/>
            <w:u w:val="single"/>
          </w:rPr>
          <w:t>Official source</w:t>
        </w:r>
      </w:hyperlink>
      <w:r>
        <w:rPr>
          <w:rFonts w:ascii="Aptos" w:hAnsi="Aptos"/>
          <w:color w:val="4E627A"/>
          <w:sz w:val="17"/>
        </w:rPr>
        <w:t xml:space="preserve"> Current official program example for eligibility, award components, contract, beneficiary, and monitoring records.</w:t>
      </w:r>
    </w:p>
    <w:p>
      <w:pPr>
        <w:spacing w:after="120" w:line="259" w:lineRule="auto"/>
        <w:ind w:left="360" w:hanging="360"/>
      </w:pPr>
      <w:r>
        <w:rPr>
          <w:rFonts w:ascii="Aptos" w:hAnsi="Aptos"/>
          <w:b/>
          <w:color w:val="071326"/>
          <w:sz w:val="18"/>
        </w:rPr>
        <w:t xml:space="preserve">[5] Commission on Higher Education. </w:t>
      </w:r>
      <w:r>
        <w:rPr>
          <w:rFonts w:ascii="Aptos" w:hAnsi="Aptos"/>
          <w:i/>
          <w:color w:val="071326"/>
          <w:sz w:val="18"/>
        </w:rPr>
        <w:t xml:space="preserve">CMO No. 13 Series of 2014 Revised Guidelines for the Implementation of Student Financial Assistance Programs. </w:t>
      </w:r>
      <w:r>
        <w:rPr>
          <w:rFonts w:ascii="Aptos" w:hAnsi="Aptos"/>
          <w:color w:val="071326"/>
          <w:sz w:val="18"/>
        </w:rPr>
        <w:t xml:space="preserve">2014. </w:t>
      </w:r>
      <w:hyperlink r:id="rId15">
        <w:r>
          <w:rPr>
            <w:color w:val="1F5E9C"/>
            <w:u w:val="single"/>
          </w:rPr>
          <w:t>Official source</w:t>
        </w:r>
      </w:hyperlink>
      <w:r>
        <w:rPr>
          <w:rFonts w:ascii="Aptos" w:hAnsi="Aptos"/>
          <w:color w:val="4E627A"/>
          <w:sz w:val="17"/>
        </w:rPr>
        <w:t xml:space="preserve"> Historical operational reference for agreements, enrollment, grades, school ID, continuing standing, and benefit processing.</w:t>
      </w:r>
    </w:p>
    <w:p>
      <w:pPr>
        <w:spacing w:after="120" w:line="259" w:lineRule="auto"/>
        <w:ind w:left="360" w:hanging="360"/>
      </w:pPr>
      <w:r>
        <w:rPr>
          <w:rFonts w:ascii="Aptos" w:hAnsi="Aptos"/>
          <w:b/>
          <w:color w:val="071326"/>
          <w:sz w:val="18"/>
        </w:rPr>
        <w:t xml:space="preserve">[6] Commission on Higher Education. </w:t>
      </w:r>
      <w:r>
        <w:rPr>
          <w:rFonts w:ascii="Aptos" w:hAnsi="Aptos"/>
          <w:i/>
          <w:color w:val="071326"/>
          <w:sz w:val="18"/>
        </w:rPr>
        <w:t xml:space="preserve">CMO No. 16 Series of 2021 SIKAP Grant Guidelines. </w:t>
      </w:r>
      <w:r>
        <w:rPr>
          <w:rFonts w:ascii="Aptos" w:hAnsi="Aptos"/>
          <w:color w:val="071326"/>
          <w:sz w:val="18"/>
        </w:rPr>
        <w:t xml:space="preserve">2021. </w:t>
      </w:r>
      <w:hyperlink r:id="rId16">
        <w:r>
          <w:rPr>
            <w:color w:val="1F5E9C"/>
            <w:u w:val="single"/>
          </w:rPr>
          <w:t>Official source</w:t>
        </w:r>
      </w:hyperlink>
      <w:r>
        <w:rPr>
          <w:rFonts w:ascii="Aptos" w:hAnsi="Aptos"/>
          <w:color w:val="4E627A"/>
          <w:sz w:val="17"/>
        </w:rPr>
        <w:t xml:space="preserve"> Operational example for progress reports, monitoring, releases, extensions, leave, withdrawal, and issue resolution.</w:t>
      </w:r>
    </w:p>
    <w:p>
      <w:pPr>
        <w:spacing w:after="120" w:line="259" w:lineRule="auto"/>
        <w:ind w:left="360" w:hanging="360"/>
      </w:pPr>
      <w:r>
        <w:rPr>
          <w:rFonts w:ascii="Aptos" w:hAnsi="Aptos"/>
          <w:b/>
          <w:color w:val="071326"/>
          <w:sz w:val="18"/>
        </w:rPr>
        <w:t xml:space="preserve">[7] Commission on Higher Education and Philippine Coconut Authority. </w:t>
      </w:r>
      <w:r>
        <w:rPr>
          <w:rFonts w:ascii="Aptos" w:hAnsi="Aptos"/>
          <w:i/>
          <w:color w:val="071326"/>
          <w:sz w:val="18"/>
        </w:rPr>
        <w:t xml:space="preserve">JMC No. 01 Series of 2023 CoScho Implementing Guidelines. </w:t>
      </w:r>
      <w:r>
        <w:rPr>
          <w:rFonts w:ascii="Aptos" w:hAnsi="Aptos"/>
          <w:color w:val="071326"/>
          <w:sz w:val="18"/>
        </w:rPr>
        <w:t xml:space="preserve">2023. </w:t>
      </w:r>
      <w:hyperlink r:id="rId17">
        <w:r>
          <w:rPr>
            <w:color w:val="1F5E9C"/>
            <w:u w:val="single"/>
          </w:rPr>
          <w:t>Official source</w:t>
        </w:r>
      </w:hyperlink>
      <w:r>
        <w:rPr>
          <w:rFonts w:ascii="Aptos" w:hAnsi="Aptos"/>
          <w:color w:val="4E627A"/>
          <w:sz w:val="17"/>
        </w:rPr>
        <w:t xml:space="preserve"> Example of recurring and one-time benefits, agreement duties, privacy, continuation, and termination conditions.</w:t>
      </w:r>
    </w:p>
    <w:p>
      <w:pPr>
        <w:spacing w:after="120" w:line="259" w:lineRule="auto"/>
        <w:ind w:left="360" w:hanging="360"/>
      </w:pPr>
      <w:r>
        <w:rPr>
          <w:rFonts w:ascii="Aptos" w:hAnsi="Aptos"/>
          <w:b/>
          <w:color w:val="071326"/>
          <w:sz w:val="18"/>
        </w:rPr>
        <w:t xml:space="preserve">[8] Unified Student Financial Assistance System for Tertiary Education. </w:t>
      </w:r>
      <w:r>
        <w:rPr>
          <w:rFonts w:ascii="Aptos" w:hAnsi="Aptos"/>
          <w:i/>
          <w:color w:val="071326"/>
          <w:sz w:val="18"/>
        </w:rPr>
        <w:t xml:space="preserve">Official Guidelines Directory. </w:t>
      </w:r>
      <w:r>
        <w:rPr>
          <w:rFonts w:ascii="Aptos" w:hAnsi="Aptos"/>
          <w:color w:val="071326"/>
          <w:sz w:val="18"/>
        </w:rPr>
        <w:t xml:space="preserve">2026. </w:t>
      </w:r>
      <w:hyperlink r:id="rId18">
        <w:r>
          <w:rPr>
            <w:color w:val="1F5E9C"/>
            <w:u w:val="single"/>
          </w:rPr>
          <w:t>Official source</w:t>
        </w:r>
      </w:hyperlink>
      <w:r>
        <w:rPr>
          <w:rFonts w:ascii="Aptos" w:hAnsi="Aptos"/>
          <w:color w:val="4E627A"/>
          <w:sz w:val="17"/>
        </w:rPr>
        <w:t xml:space="preserve"> Current directory for tertiary-education assistance and disbursement or monitoring issuances.</w:t>
      </w:r>
    </w:p>
    <w:p>
      <w:pPr>
        <w:spacing w:after="120" w:line="259" w:lineRule="auto"/>
        <w:ind w:left="360" w:hanging="360"/>
      </w:pPr>
      <w:r>
        <w:rPr>
          <w:rFonts w:ascii="Aptos" w:hAnsi="Aptos"/>
          <w:b/>
          <w:color w:val="071326"/>
          <w:sz w:val="18"/>
        </w:rPr>
        <w:t xml:space="preserve">[9] OWASP Foundation. </w:t>
      </w:r>
      <w:r>
        <w:rPr>
          <w:rFonts w:ascii="Aptos" w:hAnsi="Aptos"/>
          <w:i/>
          <w:color w:val="071326"/>
          <w:sz w:val="18"/>
        </w:rPr>
        <w:t xml:space="preserve">Authorization Cheat Sheet. </w:t>
      </w:r>
      <w:r>
        <w:rPr>
          <w:rFonts w:ascii="Aptos" w:hAnsi="Aptos"/>
          <w:color w:val="071326"/>
          <w:sz w:val="18"/>
        </w:rPr>
        <w:t xml:space="preserve">Current online edition. </w:t>
      </w:r>
      <w:hyperlink r:id="rId19">
        <w:r>
          <w:rPr>
            <w:color w:val="1F5E9C"/>
            <w:u w:val="single"/>
          </w:rPr>
          <w:t>Official source</w:t>
        </w:r>
      </w:hyperlink>
      <w:r>
        <w:rPr>
          <w:rFonts w:ascii="Aptos" w:hAnsi="Aptos"/>
          <w:color w:val="4E627A"/>
          <w:sz w:val="17"/>
        </w:rPr>
        <w:t xml:space="preserve"> Least privilege, deny by default, and resource-level authorization guidance.</w:t>
      </w:r>
    </w:p>
    <w:p>
      <w:pPr>
        <w:spacing w:after="120" w:line="259" w:lineRule="auto"/>
        <w:ind w:left="360" w:hanging="360"/>
      </w:pPr>
      <w:r>
        <w:rPr>
          <w:rFonts w:ascii="Aptos" w:hAnsi="Aptos"/>
          <w:b/>
          <w:color w:val="071326"/>
          <w:sz w:val="18"/>
        </w:rPr>
        <w:t xml:space="preserve">[10] OWASP Foundation. </w:t>
      </w:r>
      <w:r>
        <w:rPr>
          <w:rFonts w:ascii="Aptos" w:hAnsi="Aptos"/>
          <w:i/>
          <w:color w:val="071326"/>
          <w:sz w:val="18"/>
        </w:rPr>
        <w:t xml:space="preserve">File Upload Cheat Sheet. </w:t>
      </w:r>
      <w:r>
        <w:rPr>
          <w:rFonts w:ascii="Aptos" w:hAnsi="Aptos"/>
          <w:color w:val="071326"/>
          <w:sz w:val="18"/>
        </w:rPr>
        <w:t xml:space="preserve">Current online edition. </w:t>
      </w:r>
      <w:hyperlink r:id="rId20">
        <w:r>
          <w:rPr>
            <w:color w:val="1F5E9C"/>
            <w:u w:val="single"/>
          </w:rPr>
          <w:t>Official source</w:t>
        </w:r>
      </w:hyperlink>
      <w:r>
        <w:rPr>
          <w:rFonts w:ascii="Aptos" w:hAnsi="Aptos"/>
          <w:color w:val="4E627A"/>
          <w:sz w:val="17"/>
        </w:rPr>
        <w:t xml:space="preserve"> Upload validation, naming, storage, permissions, and defense-in-depth guidance.</w:t>
      </w:r>
    </w:p>
    <w:p>
      <w:pPr>
        <w:spacing w:after="120" w:line="259" w:lineRule="auto"/>
        <w:ind w:left="360" w:hanging="360"/>
      </w:pPr>
      <w:r>
        <w:rPr>
          <w:rFonts w:ascii="Aptos" w:hAnsi="Aptos"/>
          <w:b/>
          <w:color w:val="071326"/>
          <w:sz w:val="18"/>
        </w:rPr>
        <w:t xml:space="preserve">[11] OWASP Foundation. </w:t>
      </w:r>
      <w:r>
        <w:rPr>
          <w:rFonts w:ascii="Aptos" w:hAnsi="Aptos"/>
          <w:i/>
          <w:color w:val="071326"/>
          <w:sz w:val="18"/>
        </w:rPr>
        <w:t xml:space="preserve">Logging Cheat Sheet. </w:t>
      </w:r>
      <w:r>
        <w:rPr>
          <w:rFonts w:ascii="Aptos" w:hAnsi="Aptos"/>
          <w:color w:val="071326"/>
          <w:sz w:val="18"/>
        </w:rPr>
        <w:t xml:space="preserve">Current online edition. </w:t>
      </w:r>
      <w:hyperlink r:id="rId21">
        <w:r>
          <w:rPr>
            <w:color w:val="1F5E9C"/>
            <w:u w:val="single"/>
          </w:rPr>
          <w:t>Official source</w:t>
        </w:r>
      </w:hyperlink>
      <w:r>
        <w:rPr>
          <w:rFonts w:ascii="Aptos" w:hAnsi="Aptos"/>
          <w:color w:val="4E627A"/>
          <w:sz w:val="17"/>
        </w:rPr>
        <w:t xml:space="preserve"> Guidance for authentication, authorization, administrative, upload, export, and business-logic event logging.</w:t>
      </w:r>
    </w:p>
    <w:p>
      <w:pPr>
        <w:spacing w:after="120" w:line="259" w:lineRule="auto"/>
        <w:ind w:left="360" w:hanging="360"/>
      </w:pPr>
      <w:r>
        <w:rPr>
          <w:rFonts w:ascii="Aptos" w:hAnsi="Aptos"/>
          <w:b/>
          <w:color w:val="071326"/>
          <w:sz w:val="18"/>
        </w:rPr>
        <w:t xml:space="preserve">[12] Laravel. </w:t>
      </w:r>
      <w:r>
        <w:rPr>
          <w:rFonts w:ascii="Aptos" w:hAnsi="Aptos"/>
          <w:i/>
          <w:color w:val="071326"/>
          <w:sz w:val="18"/>
        </w:rPr>
        <w:t xml:space="preserve">Laravel 12 Authorization Documentation. </w:t>
      </w:r>
      <w:r>
        <w:rPr>
          <w:rFonts w:ascii="Aptos" w:hAnsi="Aptos"/>
          <w:color w:val="071326"/>
          <w:sz w:val="18"/>
        </w:rPr>
        <w:t xml:space="preserve">Laravel 12. </w:t>
      </w:r>
      <w:hyperlink r:id="rId22">
        <w:r>
          <w:rPr>
            <w:color w:val="1F5E9C"/>
            <w:u w:val="single"/>
          </w:rPr>
          <w:t>Official source</w:t>
        </w:r>
      </w:hyperlink>
      <w:r>
        <w:rPr>
          <w:rFonts w:ascii="Aptos" w:hAnsi="Aptos"/>
          <w:color w:val="4E627A"/>
          <w:sz w:val="17"/>
        </w:rPr>
        <w:t xml:space="preserve"> Framework basis for gates, policies, middleware, and action-level authorization.</w:t>
      </w:r>
    </w:p>
    <w:p>
      <w:pPr>
        <w:spacing w:after="120" w:line="259" w:lineRule="auto"/>
        <w:ind w:left="360" w:hanging="360"/>
      </w:pPr>
      <w:r>
        <w:rPr>
          <w:rFonts w:ascii="Aptos" w:hAnsi="Aptos"/>
          <w:b/>
          <w:color w:val="071326"/>
          <w:sz w:val="18"/>
        </w:rPr>
        <w:t xml:space="preserve">[13] Laravel. </w:t>
      </w:r>
      <w:r>
        <w:rPr>
          <w:rFonts w:ascii="Aptos" w:hAnsi="Aptos"/>
          <w:i/>
          <w:color w:val="071326"/>
          <w:sz w:val="18"/>
        </w:rPr>
        <w:t xml:space="preserve">Laravel 12 Validation Documentation. </w:t>
      </w:r>
      <w:r>
        <w:rPr>
          <w:rFonts w:ascii="Aptos" w:hAnsi="Aptos"/>
          <w:color w:val="071326"/>
          <w:sz w:val="18"/>
        </w:rPr>
        <w:t xml:space="preserve">Laravel 12. </w:t>
      </w:r>
      <w:hyperlink r:id="rId23">
        <w:r>
          <w:rPr>
            <w:color w:val="1F5E9C"/>
            <w:u w:val="single"/>
          </w:rPr>
          <w:t>Official source</w:t>
        </w:r>
      </w:hyperlink>
      <w:r>
        <w:rPr>
          <w:rFonts w:ascii="Aptos" w:hAnsi="Aptos"/>
          <w:color w:val="4E627A"/>
          <w:sz w:val="17"/>
        </w:rPr>
        <w:t xml:space="preserve"> Framework basis for server-side input and file validation.</w:t>
      </w:r>
    </w:p>
    <w:p>
      <w:pPr>
        <w:spacing w:after="120" w:line="259" w:lineRule="auto"/>
        <w:ind w:left="360" w:hanging="360"/>
      </w:pPr>
      <w:r>
        <w:rPr>
          <w:rFonts w:ascii="Aptos" w:hAnsi="Aptos"/>
          <w:b/>
          <w:color w:val="071326"/>
          <w:sz w:val="18"/>
        </w:rPr>
        <w:t xml:space="preserve">[14] Laravel. </w:t>
      </w:r>
      <w:r>
        <w:rPr>
          <w:rFonts w:ascii="Aptos" w:hAnsi="Aptos"/>
          <w:i/>
          <w:color w:val="071326"/>
          <w:sz w:val="18"/>
        </w:rPr>
        <w:t xml:space="preserve">Laravel 12 File Storage Documentation. </w:t>
      </w:r>
      <w:r>
        <w:rPr>
          <w:rFonts w:ascii="Aptos" w:hAnsi="Aptos"/>
          <w:color w:val="071326"/>
          <w:sz w:val="18"/>
        </w:rPr>
        <w:t xml:space="preserve">Laravel 12. </w:t>
      </w:r>
      <w:hyperlink r:id="rId24">
        <w:r>
          <w:rPr>
            <w:color w:val="1F5E9C"/>
            <w:u w:val="single"/>
          </w:rPr>
          <w:t>Official source</w:t>
        </w:r>
      </w:hyperlink>
      <w:r>
        <w:rPr>
          <w:rFonts w:ascii="Aptos" w:hAnsi="Aptos"/>
          <w:color w:val="4E627A"/>
          <w:sz w:val="17"/>
        </w:rPr>
        <w:t xml:space="preserve"> Framework basis for controlled storage and file access.</w:t>
      </w:r>
    </w:p>
    <w:p>
      <w:pPr>
        <w:spacing w:after="120" w:line="259" w:lineRule="auto"/>
        <w:ind w:left="360" w:hanging="360"/>
      </w:pPr>
      <w:r>
        <w:rPr>
          <w:rFonts w:ascii="Aptos" w:hAnsi="Aptos"/>
          <w:b/>
          <w:color w:val="071326"/>
          <w:sz w:val="18"/>
        </w:rPr>
        <w:t xml:space="preserve">[15] Laravel. </w:t>
      </w:r>
      <w:r>
        <w:rPr>
          <w:rFonts w:ascii="Aptos" w:hAnsi="Aptos"/>
          <w:i/>
          <w:color w:val="071326"/>
          <w:sz w:val="18"/>
        </w:rPr>
        <w:t xml:space="preserve">Laravel 12 Queue Documentation. </w:t>
      </w:r>
      <w:r>
        <w:rPr>
          <w:rFonts w:ascii="Aptos" w:hAnsi="Aptos"/>
          <w:color w:val="071326"/>
          <w:sz w:val="18"/>
        </w:rPr>
        <w:t xml:space="preserve">Laravel 12. </w:t>
      </w:r>
      <w:hyperlink r:id="rId25">
        <w:r>
          <w:rPr>
            <w:color w:val="1F5E9C"/>
            <w:u w:val="single"/>
          </w:rPr>
          <w:t>Official source</w:t>
        </w:r>
      </w:hyperlink>
      <w:r>
        <w:rPr>
          <w:rFonts w:ascii="Aptos" w:hAnsi="Aptos"/>
          <w:color w:val="4E627A"/>
          <w:sz w:val="17"/>
        </w:rPr>
        <w:t xml:space="preserve"> Framework basis for background notifications and operational jobs.</w:t>
      </w:r>
    </w:p>
    <w:p>
      <w:pPr>
        <w:spacing w:after="120" w:line="259" w:lineRule="auto"/>
        <w:ind w:left="360" w:hanging="360"/>
      </w:pPr>
      <w:r>
        <w:rPr>
          <w:rFonts w:ascii="Aptos" w:hAnsi="Aptos"/>
          <w:b/>
          <w:color w:val="071326"/>
          <w:sz w:val="18"/>
        </w:rPr>
        <w:t xml:space="preserve">[16] World Wide Web Consortium. </w:t>
      </w:r>
      <w:r>
        <w:rPr>
          <w:rFonts w:ascii="Aptos" w:hAnsi="Aptos"/>
          <w:i/>
          <w:color w:val="071326"/>
          <w:sz w:val="18"/>
        </w:rPr>
        <w:t xml:space="preserve">Web Content Accessibility Guidelines 2.2. </w:t>
      </w:r>
      <w:r>
        <w:rPr>
          <w:rFonts w:ascii="Aptos" w:hAnsi="Aptos"/>
          <w:color w:val="071326"/>
          <w:sz w:val="18"/>
        </w:rPr>
        <w:t xml:space="preserve">W3C Recommendation, 12 December 2024. </w:t>
      </w:r>
      <w:hyperlink r:id="rId26">
        <w:r>
          <w:rPr>
            <w:color w:val="1F5E9C"/>
            <w:u w:val="single"/>
          </w:rPr>
          <w:t>Official source</w:t>
        </w:r>
      </w:hyperlink>
      <w:r>
        <w:rPr>
          <w:rFonts w:ascii="Aptos" w:hAnsi="Aptos"/>
          <w:color w:val="4E627A"/>
          <w:sz w:val="17"/>
        </w:rPr>
        <w:t xml:space="preserve"> Accessibility and usability reference; no formal conformance claim is made here.</w:t>
      </w:r>
    </w:p>
    <w:p>
      <w:pPr>
        <w:spacing w:after="120" w:line="259" w:lineRule="auto"/>
        <w:ind w:left="360" w:hanging="360"/>
      </w:pPr>
      <w:r>
        <w:rPr>
          <w:rFonts w:ascii="Aptos" w:hAnsi="Aptos"/>
          <w:b/>
          <w:color w:val="071326"/>
          <w:sz w:val="18"/>
        </w:rPr>
        <w:t xml:space="preserve">[17] PayMongo. </w:t>
      </w:r>
      <w:r>
        <w:rPr>
          <w:rFonts w:ascii="Aptos" w:hAnsi="Aptos"/>
          <w:i/>
          <w:color w:val="071326"/>
          <w:sz w:val="18"/>
        </w:rPr>
        <w:t xml:space="preserve">Payment Links. </w:t>
      </w:r>
      <w:r>
        <w:rPr>
          <w:rFonts w:ascii="Aptos" w:hAnsi="Aptos"/>
          <w:color w:val="071326"/>
          <w:sz w:val="18"/>
        </w:rPr>
        <w:t xml:space="preserve">Current developer documentation. </w:t>
      </w:r>
      <w:hyperlink r:id="rId27">
        <w:r>
          <w:rPr>
            <w:color w:val="1F5E9C"/>
            <w:u w:val="single"/>
          </w:rPr>
          <w:t>Official source</w:t>
        </w:r>
      </w:hyperlink>
      <w:r>
        <w:rPr>
          <w:rFonts w:ascii="Aptos" w:hAnsi="Aptos"/>
          <w:color w:val="4E627A"/>
          <w:sz w:val="17"/>
        </w:rPr>
        <w:t xml:space="preserve"> Hosted provider-service checkout and payment status guidance.</w:t>
      </w:r>
    </w:p>
    <w:p>
      <w:pPr>
        <w:spacing w:after="120" w:line="259" w:lineRule="auto"/>
        <w:ind w:left="360" w:hanging="360"/>
      </w:pPr>
      <w:r>
        <w:rPr>
          <w:rFonts w:ascii="Aptos" w:hAnsi="Aptos"/>
          <w:b/>
          <w:color w:val="071326"/>
          <w:sz w:val="18"/>
        </w:rPr>
        <w:t xml:space="preserve">[18] PayMongo. </w:t>
      </w:r>
      <w:r>
        <w:rPr>
          <w:rFonts w:ascii="Aptos" w:hAnsi="Aptos"/>
          <w:i/>
          <w:color w:val="071326"/>
          <w:sz w:val="18"/>
        </w:rPr>
        <w:t xml:space="preserve">Webhooks. </w:t>
      </w:r>
      <w:r>
        <w:rPr>
          <w:rFonts w:ascii="Aptos" w:hAnsi="Aptos"/>
          <w:color w:val="071326"/>
          <w:sz w:val="18"/>
        </w:rPr>
        <w:t xml:space="preserve">Current developer documentation. </w:t>
      </w:r>
      <w:hyperlink r:id="rId28">
        <w:r>
          <w:rPr>
            <w:color w:val="1F5E9C"/>
            <w:u w:val="single"/>
          </w:rPr>
          <w:t>Official source</w:t>
        </w:r>
      </w:hyperlink>
      <w:r>
        <w:rPr>
          <w:rFonts w:ascii="Aptos" w:hAnsi="Aptos"/>
          <w:color w:val="4E627A"/>
          <w:sz w:val="17"/>
        </w:rPr>
        <w:t xml:space="preserve"> Server-to-server event notification guidance for payment confirmation.</w:t>
      </w:r>
    </w:p>
    <w:p>
      <w:pPr>
        <w:pStyle w:val="Heading2"/>
        <w:keepNext/>
      </w:pPr>
      <w:r>
        <w:t>Presentation summary</w:t>
      </w:r>
    </w:p>
    <w:p>
      <w:pPr>
        <w:spacing w:after="140" w:line="274" w:lineRule="auto"/>
      </w:pPr>
      <w:r>
        <w:rPr>
          <w:rFonts w:ascii="Aptos" w:hAnsi="Aptos"/>
          <w:color w:val="071326"/>
          <w:sz w:val="20"/>
        </w:rPr>
        <w:t>The system process was synthesized rather than copied. Philippine scholarship references informed the information, evidence, agreement, monitoring, and benefit concepts. NPC requirements informed privacy and access controls. OWASP and Laravel informed secure implementation. WCAG informed understandable and accessible interaction. PayMongo documentation informed provider-service payment confirmation. The exact workflow states and role-specific workspaces were designed for Find Scholarship Online.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E627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E627A"/>
        <w:sz w:val="15"/>
      </w:rPr>
      <w:t>FIND SCHOLARSHIP ONLINE   |   PROCESS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713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ivacy.gov.ph/implementing-rules%20regulations-data-privacy-act-2012/" TargetMode="External"/><Relationship Id="rId12" Type="http://schemas.openxmlformats.org/officeDocument/2006/relationships/hyperlink" Target="https://ched.gov.ph/wp-content/uploads/CHED-Scholarship-Program-Application-Form.pdf" TargetMode="External"/><Relationship Id="rId13" Type="http://schemas.openxmlformats.org/officeDocument/2006/relationships/hyperlink" Target="https://helpdesk.sei.dost.gov.ph/faqs" TargetMode="External"/><Relationship Id="rId14" Type="http://schemas.openxmlformats.org/officeDocument/2006/relationships/hyperlink" Target="https://legacy.ched.gov.ph/merit-scholarship/" TargetMode="External"/><Relationship Id="rId15" Type="http://schemas.openxmlformats.org/officeDocument/2006/relationships/hyperlink" Target="https://ched.gov.ph/wp-content/uploads/2017/09/CMO-No.-13-S.-2014-Revised-Guidelines-for-the-Implementation-of-StuFAPs-Effective-AY-2014-2015.pdf" TargetMode="External"/><Relationship Id="rId16" Type="http://schemas.openxmlformats.org/officeDocument/2006/relationships/hyperlink" Target="https://ched.gov.ph/wp-content/uploads/CHED-Memorandum-Order-CMO-No.-16-series-of-2021.pdf" TargetMode="External"/><Relationship Id="rId17" Type="http://schemas.openxmlformats.org/officeDocument/2006/relationships/hyperlink" Target="https://ched.gov.ph/wp-content/uploads/20230913-JMC-No-01-S-2023-Implementing-Guidelines-of-the-Scholarship-Program-for-Coconut-Farmers-and-their-Families-CoScho.pdf" TargetMode="External"/><Relationship Id="rId18" Type="http://schemas.openxmlformats.org/officeDocument/2006/relationships/hyperlink" Target="https://unifast.gov.ph/guidelines.html" TargetMode="External"/><Relationship Id="rId19" Type="http://schemas.openxmlformats.org/officeDocument/2006/relationships/hyperlink" Target="https://cheatsheetseries.owasp.org/cheatsheets/Authorization_Cheat_Sheet.html" TargetMode="External"/><Relationship Id="rId20" Type="http://schemas.openxmlformats.org/officeDocument/2006/relationships/hyperlink" Target="https://cheatsheetseries.owasp.org/cheatsheets/File_Upload_Cheat_Sheet.html" TargetMode="External"/><Relationship Id="rId21" Type="http://schemas.openxmlformats.org/officeDocument/2006/relationships/hyperlink" Target="https://cheatsheetseries.owasp.org/cheatsheets/Logging_Cheat_Sheet.html" TargetMode="External"/><Relationship Id="rId22" Type="http://schemas.openxmlformats.org/officeDocument/2006/relationships/hyperlink" Target="https://laravel.com/docs/12.x/authorization" TargetMode="External"/><Relationship Id="rId23" Type="http://schemas.openxmlformats.org/officeDocument/2006/relationships/hyperlink" Target="https://laravel.com/docs/12.x/validation" TargetMode="External"/><Relationship Id="rId24" Type="http://schemas.openxmlformats.org/officeDocument/2006/relationships/hyperlink" Target="https://laravel.com/docs/12.x/filesystem" TargetMode="External"/><Relationship Id="rId25" Type="http://schemas.openxmlformats.org/officeDocument/2006/relationships/hyperlink" Target="https://laravel.com/docs/12.x/queues" TargetMode="External"/><Relationship Id="rId26" Type="http://schemas.openxmlformats.org/officeDocument/2006/relationships/hyperlink" Target="https://www.w3.org/TR/WCAG22/" TargetMode="External"/><Relationship Id="rId27" Type="http://schemas.openxmlformats.org/officeDocument/2006/relationships/hyperlink" Target="https://docs.paymongo.com/docs/payment-channels-payment-links" TargetMode="External"/><Relationship Id="rId28" Type="http://schemas.openxmlformats.org/officeDocument/2006/relationships/hyperlink" Target="https://docs.paymongo.com/docs/developer-tools-webh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Platform Process Design References</dc:title>
  <dc:subject>Reference basis for the processes implemented in Find Scholarship Online</dc:subject>
  <dc:creator>Find Scholarship Online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