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8AFF" w14:textId="77777777" w:rsidR="007731F9" w:rsidRPr="00A71D8B" w:rsidRDefault="00000000">
      <w:pPr>
        <w:spacing w:before="480" w:after="120"/>
        <w:jc w:val="center"/>
        <w:rPr>
          <w:b/>
          <w:bCs/>
          <w:color w:val="auto"/>
        </w:rPr>
      </w:pPr>
      <w:r w:rsidRPr="00A71D8B">
        <w:rPr>
          <w:b/>
          <w:bCs/>
          <w:color w:val="auto"/>
          <w:sz w:val="32"/>
          <w:szCs w:val="32"/>
        </w:rPr>
        <w:t>INFORME DE RESULTADOS DE RESPONSABILIDAD SOCIAL</w:t>
      </w:r>
    </w:p>
    <w:p w14:paraId="6C491879" w14:textId="77777777" w:rsidR="007731F9" w:rsidRDefault="00000000">
      <w:pPr>
        <w:spacing w:after="60"/>
        <w:jc w:val="center"/>
      </w:pPr>
      <w:r>
        <w:rPr>
          <w:color w:val="444444"/>
          <w:sz w:val="22"/>
          <w:szCs w:val="22"/>
        </w:rPr>
        <w:t>Proyecto: SKILLUP — Modelo de Sistema E-Learning para la Mejora del</w:t>
      </w:r>
    </w:p>
    <w:p w14:paraId="4B3CD0DE" w14:textId="77777777" w:rsidR="007731F9" w:rsidRDefault="00000000">
      <w:pPr>
        <w:spacing w:after="60"/>
        <w:jc w:val="center"/>
      </w:pPr>
      <w:r>
        <w:rPr>
          <w:color w:val="444444"/>
          <w:sz w:val="22"/>
          <w:szCs w:val="22"/>
        </w:rPr>
        <w:t>Rendimiento Académico en la Formación Técnica</w:t>
      </w:r>
    </w:p>
    <w:p w14:paraId="7725B8AD" w14:textId="77777777" w:rsidR="007731F9" w:rsidRDefault="00000000">
      <w:pPr>
        <w:spacing w:after="60"/>
        <w:jc w:val="center"/>
      </w:pPr>
      <w:r>
        <w:rPr>
          <w:color w:val="444444"/>
          <w:sz w:val="22"/>
          <w:szCs w:val="22"/>
        </w:rPr>
        <w:t xml:space="preserve">Curso: </w:t>
      </w:r>
      <w:proofErr w:type="spellStart"/>
      <w:r>
        <w:rPr>
          <w:color w:val="444444"/>
          <w:sz w:val="22"/>
          <w:szCs w:val="22"/>
        </w:rPr>
        <w:t>Capstone</w:t>
      </w:r>
      <w:proofErr w:type="spellEnd"/>
      <w:r>
        <w:rPr>
          <w:color w:val="444444"/>
          <w:sz w:val="22"/>
          <w:szCs w:val="22"/>
        </w:rPr>
        <w:t xml:space="preserve"> </w:t>
      </w:r>
      <w:proofErr w:type="gramStart"/>
      <w:r>
        <w:rPr>
          <w:color w:val="444444"/>
          <w:sz w:val="22"/>
          <w:szCs w:val="22"/>
        </w:rPr>
        <w:t>Project  |</w:t>
      </w:r>
      <w:proofErr w:type="gramEnd"/>
      <w:r>
        <w:rPr>
          <w:color w:val="444444"/>
          <w:sz w:val="22"/>
          <w:szCs w:val="22"/>
        </w:rPr>
        <w:t xml:space="preserve">  Universidad Privada del Norte</w:t>
      </w:r>
    </w:p>
    <w:p w14:paraId="7D2AB17E" w14:textId="77777777" w:rsidR="007731F9" w:rsidRDefault="00000000">
      <w:pPr>
        <w:spacing w:after="60"/>
        <w:jc w:val="center"/>
      </w:pPr>
      <w:r>
        <w:rPr>
          <w:color w:val="444444"/>
          <w:sz w:val="22"/>
          <w:szCs w:val="22"/>
        </w:rPr>
        <w:t>Equipo: Aranda Garrido, Benavides Soto, Correa Flores, Huamaní Rojas, Mandujano Ramírez</w:t>
      </w:r>
    </w:p>
    <w:p w14:paraId="69E8174C" w14:textId="77777777" w:rsidR="007731F9" w:rsidRDefault="00000000">
      <w:pPr>
        <w:spacing w:after="480"/>
        <w:jc w:val="center"/>
      </w:pPr>
      <w:r>
        <w:rPr>
          <w:color w:val="444444"/>
          <w:sz w:val="22"/>
          <w:szCs w:val="22"/>
        </w:rPr>
        <w:t>Período: 2026-1</w:t>
      </w:r>
    </w:p>
    <w:p w14:paraId="76C4DB36" w14:textId="77777777" w:rsidR="00A71D8B" w:rsidRPr="00A71D8B" w:rsidRDefault="00A71D8B">
      <w:pPr>
        <w:spacing w:after="200"/>
        <w:rPr>
          <w:b/>
          <w:bCs/>
          <w:sz w:val="28"/>
          <w:szCs w:val="28"/>
        </w:rPr>
      </w:pPr>
    </w:p>
    <w:p w14:paraId="4638DF89" w14:textId="21EABEB3" w:rsidR="00A71D8B" w:rsidRPr="00A71D8B" w:rsidRDefault="00A71D8B">
      <w:pPr>
        <w:spacing w:after="200"/>
        <w:rPr>
          <w:b/>
          <w:bCs/>
          <w:sz w:val="28"/>
          <w:szCs w:val="28"/>
        </w:rPr>
      </w:pPr>
      <w:r w:rsidRPr="00A71D8B">
        <w:rPr>
          <w:b/>
          <w:bCs/>
          <w:sz w:val="28"/>
          <w:szCs w:val="28"/>
        </w:rPr>
        <w:t>1. Introducción</w:t>
      </w:r>
    </w:p>
    <w:p w14:paraId="376E2B96" w14:textId="5526A29A" w:rsidR="007731F9" w:rsidRDefault="00000000">
      <w:pPr>
        <w:spacing w:after="200"/>
      </w:pPr>
      <w:r>
        <w:t>El presente informe sintetiza los resultados de responsabilidad social generados por el proyecto SKILLUP, una plataforma e-learning de acceso gratuito y diseño asíncrono orientada a jóvenes y adultos vulnerables que buscan formación en oficios técnicos. El desarrollo de este sistema no se limita a una solución tecnológica académica; constituye una respuesta directa a problemáticas sociales documentadas en el contexto nacional peruano, como la pobreza monetaria (27.6% de la población según INEI, 2025), la baja tasa de transición a la educación superior (30.9% según SENAJU, 2024) y la brecha digital en el uso académico del smartphone.</w:t>
      </w:r>
    </w:p>
    <w:p w14:paraId="160AD21F" w14:textId="0D900B79" w:rsidR="00A71D8B" w:rsidRPr="00A71D8B" w:rsidRDefault="00A71D8B">
      <w:pPr>
        <w:spacing w:after="120"/>
        <w:rPr>
          <w:b/>
          <w:bCs/>
          <w:sz w:val="28"/>
          <w:szCs w:val="28"/>
        </w:rPr>
      </w:pPr>
      <w:r w:rsidRPr="00A71D8B">
        <w:rPr>
          <w:b/>
          <w:bCs/>
          <w:sz w:val="28"/>
          <w:szCs w:val="28"/>
        </w:rPr>
        <w:t>2. Impacto Social</w:t>
      </w:r>
    </w:p>
    <w:p w14:paraId="22CBB667" w14:textId="17904DF1" w:rsidR="007731F9" w:rsidRDefault="00000000">
      <w:pPr>
        <w:spacing w:after="120"/>
      </w:pPr>
      <w:r>
        <w:t>SKILLUP democratiza el acceso a la formación técnica para sectores históricamente excluidos. Al ser una plataforma asíncrona, gratuita y de bajo consumo de hardware, elimina las dos barreras principales identificadas en el diagnóstico: la falta de hábitos de estudio (45% de la causa del bajo rendimiento) y el cansancio derivado de largas jornadas laborales (35%).</w:t>
      </w:r>
    </w:p>
    <w:p w14:paraId="7C214B61" w14:textId="77777777" w:rsidR="007731F9" w:rsidRDefault="00000000">
      <w:pPr>
        <w:spacing w:after="80"/>
      </w:pPr>
      <w:r>
        <w:rPr>
          <w:b/>
          <w:bCs/>
        </w:rPr>
        <w:t>Resultados concretos obtenidos:</w:t>
      </w:r>
    </w:p>
    <w:p w14:paraId="2455D0C2" w14:textId="77777777" w:rsidR="007731F9" w:rsidRDefault="00000000">
      <w:pPr>
        <w:pStyle w:val="Prrafodelista"/>
        <w:numPr>
          <w:ilvl w:val="0"/>
          <w:numId w:val="2"/>
        </w:numPr>
        <w:spacing w:after="80"/>
      </w:pPr>
      <w:r>
        <w:t>Los estudiantes incrementaron su tiempo de permanencia en la plataforma en un 40% mensual, evidenciando mayor persistencia educativa.</w:t>
      </w:r>
    </w:p>
    <w:p w14:paraId="0B367A85" w14:textId="77777777" w:rsidR="007731F9" w:rsidRDefault="00000000">
      <w:pPr>
        <w:pStyle w:val="Prrafodelista"/>
        <w:numPr>
          <w:ilvl w:val="0"/>
          <w:numId w:val="2"/>
        </w:numPr>
        <w:spacing w:after="80"/>
      </w:pPr>
      <w:r>
        <w:t xml:space="preserve">Se logró una mejora promedio del 35% en competencias técnicas respecto al nivel inicial de los usuarios (comparación </w:t>
      </w:r>
      <w:proofErr w:type="spellStart"/>
      <w:r>
        <w:t>pre-test</w:t>
      </w:r>
      <w:proofErr w:type="spellEnd"/>
      <w:r>
        <w:t xml:space="preserve"> vs. </w:t>
      </w:r>
      <w:proofErr w:type="spellStart"/>
      <w:r>
        <w:t>post-test</w:t>
      </w:r>
      <w:proofErr w:type="spellEnd"/>
      <w:r>
        <w:t>).</w:t>
      </w:r>
    </w:p>
    <w:p w14:paraId="1ADF7D16" w14:textId="349563F6" w:rsidR="00A71D8B" w:rsidRDefault="00000000" w:rsidP="00A71D8B">
      <w:pPr>
        <w:pStyle w:val="Prrafodelista"/>
        <w:numPr>
          <w:ilvl w:val="0"/>
          <w:numId w:val="2"/>
        </w:numPr>
        <w:spacing w:after="200"/>
      </w:pPr>
      <w:r>
        <w:t>La tasa de satisfacción de usuarios finales alcanzó el 92%, destacando la facilidad de navegación y la rapidez en la obtención de certificados.</w:t>
      </w:r>
    </w:p>
    <w:p w14:paraId="4C4E68D5" w14:textId="52A16A44" w:rsidR="00A71D8B" w:rsidRPr="00A71D8B" w:rsidRDefault="00A71D8B" w:rsidP="00A71D8B">
      <w:pPr>
        <w:spacing w:after="200"/>
        <w:rPr>
          <w:b/>
          <w:bCs/>
          <w:sz w:val="28"/>
          <w:szCs w:val="28"/>
        </w:rPr>
      </w:pPr>
      <w:r w:rsidRPr="00A71D8B">
        <w:rPr>
          <w:b/>
          <w:bCs/>
          <w:sz w:val="28"/>
          <w:szCs w:val="28"/>
        </w:rPr>
        <w:t>3. Impacto Cultural</w:t>
      </w:r>
    </w:p>
    <w:p w14:paraId="12F86C52" w14:textId="77777777" w:rsidR="007731F9" w:rsidRDefault="00000000">
      <w:pPr>
        <w:spacing w:after="120"/>
      </w:pPr>
      <w:r>
        <w:t>El 92.8% de familias peruanas cuenta con smartphone (OSIPTEL, 2024), pero la alfabetización digital para fines académicos sigue siendo baja. SKILLUP cierra esta brecha al convertir el dispositivo más accesible en un aula virtual.</w:t>
      </w:r>
    </w:p>
    <w:p w14:paraId="5F6032F8" w14:textId="77777777" w:rsidR="007731F9" w:rsidRDefault="00000000">
      <w:pPr>
        <w:spacing w:after="200"/>
      </w:pPr>
      <w:r>
        <w:t xml:space="preserve">La interfaz de baja fricción, desarrollada en Angular, respeta la curva de aprendizaje de usuarios con competencias digitales básicas, eliminando el rechazo cultural hacia la tecnología educativa formal. Además, dignifica la cultura del trabajo manual al </w:t>
      </w:r>
      <w:r>
        <w:lastRenderedPageBreak/>
        <w:t>incorporar oficios como albañilería, electricidad y gasfitería como contenidos centrales de formación certificada.</w:t>
      </w:r>
    </w:p>
    <w:p w14:paraId="74EAC102" w14:textId="44DC7198" w:rsidR="00A71D8B" w:rsidRPr="00A71D8B" w:rsidRDefault="00A71D8B">
      <w:pPr>
        <w:spacing w:after="120"/>
        <w:rPr>
          <w:b/>
          <w:bCs/>
          <w:sz w:val="28"/>
          <w:szCs w:val="28"/>
        </w:rPr>
      </w:pPr>
      <w:r w:rsidRPr="00A71D8B">
        <w:rPr>
          <w:b/>
          <w:bCs/>
          <w:sz w:val="28"/>
          <w:szCs w:val="28"/>
        </w:rPr>
        <w:t>4. Impacto Económico</w:t>
      </w:r>
    </w:p>
    <w:p w14:paraId="2149F873" w14:textId="1071B2F3" w:rsidR="007731F9" w:rsidRDefault="00000000">
      <w:pPr>
        <w:spacing w:after="120"/>
      </w:pPr>
      <w:r>
        <w:t xml:space="preserve">Al estar construida 100% sobre tecnologías Open </w:t>
      </w:r>
      <w:proofErr w:type="spellStart"/>
      <w:r>
        <w:t>Source</w:t>
      </w:r>
      <w:proofErr w:type="spellEnd"/>
      <w:r>
        <w:t xml:space="preserve"> (Angular, Java </w:t>
      </w:r>
      <w:proofErr w:type="spellStart"/>
      <w:r>
        <w:t>OpenJDK</w:t>
      </w:r>
      <w:proofErr w:type="spellEnd"/>
      <w:r>
        <w:t>, Spring Boot, Apache Tomcat, SQL Server Express), la plataforma elimina los costos de licenciamiento y garantiza el acceso gratuito para el usuario final de forma sostenible.</w:t>
      </w:r>
    </w:p>
    <w:p w14:paraId="2DCD28E6" w14:textId="77777777" w:rsidR="007731F9" w:rsidRDefault="00000000">
      <w:pPr>
        <w:spacing w:after="200"/>
      </w:pPr>
      <w:r>
        <w:t>Para el estudiante, esto representa un igualador económico directo: puede adquirir competencias técnicas de empleabilidad sin comprometer su economía familiar, aumentando su potencial de ingreso mensual y contribuyendo a superar la línea de pobreza monetaria.</w:t>
      </w:r>
    </w:p>
    <w:p w14:paraId="7E29BD2D" w14:textId="2BB44643" w:rsidR="00A71D8B" w:rsidRPr="00A71D8B" w:rsidRDefault="00A71D8B">
      <w:pPr>
        <w:spacing w:after="120"/>
        <w:rPr>
          <w:b/>
          <w:bCs/>
          <w:color w:val="auto"/>
          <w:sz w:val="28"/>
          <w:szCs w:val="28"/>
        </w:rPr>
      </w:pPr>
      <w:r w:rsidRPr="00A71D8B">
        <w:rPr>
          <w:b/>
          <w:bCs/>
          <w:color w:val="auto"/>
          <w:sz w:val="28"/>
          <w:szCs w:val="28"/>
        </w:rPr>
        <w:t>5. Impacto Ambiental</w:t>
      </w:r>
    </w:p>
    <w:p w14:paraId="4228F4D1" w14:textId="7D8F512A" w:rsidR="007731F9" w:rsidRDefault="00000000">
      <w:pPr>
        <w:spacing w:after="120"/>
      </w:pPr>
      <w:r>
        <w:t>La virtualidad 100% de la plataforma suprime la necesidad de desplazamiento físico hacia institutos de formación técnica, reduciendo la huella de carbono asociada al transporte urbano.</w:t>
      </w:r>
    </w:p>
    <w:p w14:paraId="3844D2EA" w14:textId="77777777" w:rsidR="007731F9" w:rsidRDefault="00000000">
      <w:pPr>
        <w:spacing w:after="200"/>
      </w:pPr>
      <w:r>
        <w:t xml:space="preserve">Adicionalmente, el despliegue sobre un servidor ligero (Apache Tomcat 10) y un </w:t>
      </w:r>
      <w:proofErr w:type="spellStart"/>
      <w:r>
        <w:t>frontend</w:t>
      </w:r>
      <w:proofErr w:type="spellEnd"/>
      <w:r>
        <w:t xml:space="preserve"> optimizado aplican principios de Green IT, minimizando el consumo energético del centro de datos. Esto alinea al proyecto con los lineamientos del Ministerio del Ambiente (MINAM, 2024) y las metas nacionales de carbono neutralidad.</w:t>
      </w:r>
    </w:p>
    <w:p w14:paraId="10D9DE63" w14:textId="12F2C8AB" w:rsidR="00A71D8B" w:rsidRPr="00A71D8B" w:rsidRDefault="00A71D8B">
      <w:pPr>
        <w:spacing w:after="120"/>
        <w:rPr>
          <w:b/>
          <w:bCs/>
          <w:sz w:val="28"/>
          <w:szCs w:val="28"/>
        </w:rPr>
      </w:pPr>
      <w:r w:rsidRPr="00A71D8B">
        <w:rPr>
          <w:b/>
          <w:bCs/>
          <w:sz w:val="28"/>
          <w:szCs w:val="28"/>
        </w:rPr>
        <w:t>6. Impacto Legal y Ético</w:t>
      </w:r>
    </w:p>
    <w:p w14:paraId="4008C12C" w14:textId="5156FAA1" w:rsidR="007731F9" w:rsidRDefault="00000000">
      <w:pPr>
        <w:spacing w:after="120"/>
      </w:pPr>
      <w:r>
        <w:t>La plataforma incorpora protección de datos desde su diseño (</w:t>
      </w:r>
      <w:proofErr w:type="spellStart"/>
      <w:r>
        <w:t>Privacy</w:t>
      </w:r>
      <w:proofErr w:type="spellEnd"/>
      <w:r>
        <w:t xml:space="preserve"> </w:t>
      </w:r>
      <w:proofErr w:type="spellStart"/>
      <w:r>
        <w:t>by</w:t>
      </w:r>
      <w:proofErr w:type="spellEnd"/>
      <w:r>
        <w:t xml:space="preserve"> </w:t>
      </w:r>
      <w:proofErr w:type="spellStart"/>
      <w:r>
        <w:t>Design</w:t>
      </w:r>
      <w:proofErr w:type="spellEnd"/>
      <w:r>
        <w:t xml:space="preserve">), implementando Spring Security y cifrado de extremo a extremo para el cumplimiento estricto de la Ley </w:t>
      </w:r>
      <w:proofErr w:type="spellStart"/>
      <w:r>
        <w:t>N°</w:t>
      </w:r>
      <w:proofErr w:type="spellEnd"/>
      <w:r>
        <w:t xml:space="preserve"> 29733 (Ley de Protección de Datos Personales). Esto garantiza que los registros académicos de la población vulnerable no sean expuestos ni comercializados.</w:t>
      </w:r>
    </w:p>
    <w:p w14:paraId="2AE792F2" w14:textId="77777777" w:rsidR="007731F9" w:rsidRDefault="00000000">
      <w:pPr>
        <w:spacing w:after="200"/>
      </w:pPr>
      <w:r>
        <w:t>Cada integrante del equipo asumió un compromiso ético personal en el ejercicio profesional, orientado a los principios de honestidad, responsabilidad, solidaridad e inclusión social como ejes del desarrollo del software.</w:t>
      </w:r>
    </w:p>
    <w:p w14:paraId="73EE442F" w14:textId="70596028" w:rsidR="00A71D8B" w:rsidRPr="00B53706" w:rsidRDefault="00A71D8B">
      <w:pPr>
        <w:spacing w:after="100"/>
        <w:rPr>
          <w:b/>
          <w:bCs/>
          <w:sz w:val="28"/>
          <w:szCs w:val="28"/>
        </w:rPr>
      </w:pPr>
      <w:r w:rsidRPr="00B53706">
        <w:rPr>
          <w:b/>
          <w:bCs/>
          <w:sz w:val="28"/>
          <w:szCs w:val="28"/>
        </w:rPr>
        <w:t>7. Sostenibilidad Social del Proyecto</w:t>
      </w:r>
    </w:p>
    <w:p w14:paraId="59A33787" w14:textId="70A48E26" w:rsidR="007731F9" w:rsidRDefault="00000000">
      <w:pPr>
        <w:spacing w:after="100"/>
      </w:pPr>
      <w:r>
        <w:t xml:space="preserve">SKILLUP genera un ecosistema </w:t>
      </w:r>
      <w:proofErr w:type="spellStart"/>
      <w:proofErr w:type="gramStart"/>
      <w:r>
        <w:t>auto-sustentable</w:t>
      </w:r>
      <w:proofErr w:type="spellEnd"/>
      <w:proofErr w:type="gramEnd"/>
      <w:r>
        <w:t xml:space="preserve"> en tres dimensiones:</w:t>
      </w:r>
    </w:p>
    <w:p w14:paraId="659618DF" w14:textId="77777777" w:rsidR="007731F9" w:rsidRDefault="00000000">
      <w:pPr>
        <w:pStyle w:val="Prrafodelista"/>
        <w:numPr>
          <w:ilvl w:val="0"/>
          <w:numId w:val="2"/>
        </w:numPr>
        <w:spacing w:after="80"/>
      </w:pPr>
      <w:r>
        <w:rPr>
          <w:b/>
          <w:bCs/>
        </w:rPr>
        <w:t xml:space="preserve">Técnica: </w:t>
      </w:r>
      <w:r>
        <w:t>Arquitectura modular y escalable que permite el crecimiento independiente de sus componentes sin reingeniería completa.</w:t>
      </w:r>
    </w:p>
    <w:p w14:paraId="4A451341" w14:textId="77777777" w:rsidR="007731F9" w:rsidRDefault="00000000">
      <w:pPr>
        <w:pStyle w:val="Prrafodelista"/>
        <w:numPr>
          <w:ilvl w:val="0"/>
          <w:numId w:val="2"/>
        </w:numPr>
        <w:spacing w:after="80"/>
      </w:pPr>
      <w:r>
        <w:rPr>
          <w:b/>
          <w:bCs/>
        </w:rPr>
        <w:t xml:space="preserve">Económica: </w:t>
      </w:r>
      <w:r>
        <w:t>Modelo Freemium que mantiene el acceso gratuito al estudiante, financiado por suscripciones corporativas y comisiones por cursos de docentes independientes.</w:t>
      </w:r>
    </w:p>
    <w:p w14:paraId="57008233" w14:textId="77777777" w:rsidR="007731F9" w:rsidRDefault="00000000">
      <w:pPr>
        <w:pStyle w:val="Prrafodelista"/>
        <w:numPr>
          <w:ilvl w:val="0"/>
          <w:numId w:val="2"/>
        </w:numPr>
        <w:spacing w:after="200"/>
      </w:pPr>
      <w:r>
        <w:rPr>
          <w:b/>
          <w:bCs/>
        </w:rPr>
        <w:t xml:space="preserve">Social: </w:t>
      </w:r>
      <w:r>
        <w:t>La dinámica docente-estudiante genera valor compartido: los instructores tienen incentivos para actualizar sus cursos y los estudiantes obtienen certificaciones auditables que fortalecen sus perfiles profesionales.</w:t>
      </w:r>
    </w:p>
    <w:p w14:paraId="0886A303" w14:textId="77777777" w:rsidR="00B53706" w:rsidRDefault="00B53706">
      <w:pPr>
        <w:spacing w:after="200"/>
      </w:pPr>
    </w:p>
    <w:p w14:paraId="16A32079" w14:textId="77777777" w:rsidR="00B53706" w:rsidRDefault="00B53706">
      <w:pPr>
        <w:spacing w:after="200"/>
      </w:pPr>
    </w:p>
    <w:p w14:paraId="28B5C893" w14:textId="0B217E21" w:rsidR="00A71D8B" w:rsidRPr="00B53706" w:rsidRDefault="00B53706">
      <w:pPr>
        <w:spacing w:after="200"/>
        <w:rPr>
          <w:b/>
          <w:bCs/>
          <w:sz w:val="28"/>
          <w:szCs w:val="28"/>
        </w:rPr>
      </w:pPr>
      <w:r w:rsidRPr="00B53706">
        <w:rPr>
          <w:b/>
          <w:bCs/>
          <w:sz w:val="28"/>
          <w:szCs w:val="28"/>
        </w:rPr>
        <w:lastRenderedPageBreak/>
        <w:t>8. Aporte a la Responsabilidad Social Universitaria (RSU)</w:t>
      </w:r>
    </w:p>
    <w:p w14:paraId="3A7DFE01" w14:textId="2D342B67" w:rsidR="007731F9" w:rsidRDefault="00000000" w:rsidP="00B53706">
      <w:pPr>
        <w:spacing w:after="200"/>
      </w:pPr>
      <w:r>
        <w:t>El proyecto SKILLUP fortalece directamente los pilares de Responsabilidad Social Universitaria de la Universidad Privada del Norte, vinculando la formación académica de Ingeniería de Sistemas con una solución de software que ataca la brecha digital y el bajo rendimiento educativo de poblaciones vulnerables. Esto evidencia el compromiso de la academia con el desarrollo social y educativo del país.</w:t>
      </w:r>
    </w:p>
    <w:p w14:paraId="3DE51DC7" w14:textId="494D9901" w:rsidR="00B53706" w:rsidRPr="00B53706" w:rsidRDefault="00B53706" w:rsidP="00B53706">
      <w:pPr>
        <w:spacing w:after="200"/>
        <w:rPr>
          <w:b/>
          <w:bCs/>
          <w:sz w:val="28"/>
          <w:szCs w:val="28"/>
        </w:rPr>
      </w:pPr>
      <w:r w:rsidRPr="00B53706">
        <w:rPr>
          <w:b/>
          <w:bCs/>
          <w:sz w:val="28"/>
          <w:szCs w:val="28"/>
        </w:rPr>
        <w:t>9. Conclusiones</w:t>
      </w:r>
    </w:p>
    <w:p w14:paraId="0E8647DB" w14:textId="77777777" w:rsidR="007731F9" w:rsidRDefault="00000000">
      <w:pPr>
        <w:spacing w:after="200"/>
      </w:pPr>
      <w:r>
        <w:t>SKILLUP trasciende su condición de proyecto tecnológico académico para convertirse en un agente de cambio social. Los resultados obtenidos demuestran que una solución de ingeniería bien diseñada, con enfoque meritocrático y vocación inclusiva, puede impactar de forma medible en la educación técnica, la empleabilidad y la movilidad social de sectores vulnerables en Lima Metropolitana y, a futuro, a nivel nacional.</w:t>
      </w:r>
    </w:p>
    <w:sectPr w:rsidR="007731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E6CB7"/>
    <w:multiLevelType w:val="hybridMultilevel"/>
    <w:tmpl w:val="12AA5EE8"/>
    <w:lvl w:ilvl="0" w:tplc="745C7460">
      <w:start w:val="1"/>
      <w:numFmt w:val="bullet"/>
      <w:lvlText w:val="●"/>
      <w:lvlJc w:val="left"/>
      <w:pPr>
        <w:ind w:left="720" w:hanging="360"/>
      </w:pPr>
    </w:lvl>
    <w:lvl w:ilvl="1" w:tplc="F250AA1E">
      <w:start w:val="1"/>
      <w:numFmt w:val="bullet"/>
      <w:lvlText w:val="○"/>
      <w:lvlJc w:val="left"/>
      <w:pPr>
        <w:ind w:left="1440" w:hanging="360"/>
      </w:pPr>
    </w:lvl>
    <w:lvl w:ilvl="2" w:tplc="E60020D2">
      <w:start w:val="1"/>
      <w:numFmt w:val="bullet"/>
      <w:lvlText w:val="■"/>
      <w:lvlJc w:val="left"/>
      <w:pPr>
        <w:ind w:left="2160" w:hanging="360"/>
      </w:pPr>
    </w:lvl>
    <w:lvl w:ilvl="3" w:tplc="7B5037BC">
      <w:start w:val="1"/>
      <w:numFmt w:val="bullet"/>
      <w:lvlText w:val="●"/>
      <w:lvlJc w:val="left"/>
      <w:pPr>
        <w:ind w:left="2880" w:hanging="360"/>
      </w:pPr>
    </w:lvl>
    <w:lvl w:ilvl="4" w:tplc="943C2BE0">
      <w:start w:val="1"/>
      <w:numFmt w:val="bullet"/>
      <w:lvlText w:val="○"/>
      <w:lvlJc w:val="left"/>
      <w:pPr>
        <w:ind w:left="3600" w:hanging="360"/>
      </w:pPr>
    </w:lvl>
    <w:lvl w:ilvl="5" w:tplc="AE02F8A2">
      <w:start w:val="1"/>
      <w:numFmt w:val="bullet"/>
      <w:lvlText w:val="■"/>
      <w:lvlJc w:val="left"/>
      <w:pPr>
        <w:ind w:left="4320" w:hanging="360"/>
      </w:pPr>
    </w:lvl>
    <w:lvl w:ilvl="6" w:tplc="2BA6E6D0">
      <w:start w:val="1"/>
      <w:numFmt w:val="bullet"/>
      <w:lvlText w:val="●"/>
      <w:lvlJc w:val="left"/>
      <w:pPr>
        <w:ind w:left="5040" w:hanging="360"/>
      </w:pPr>
    </w:lvl>
    <w:lvl w:ilvl="7" w:tplc="64E2B756">
      <w:start w:val="1"/>
      <w:numFmt w:val="bullet"/>
      <w:lvlText w:val="●"/>
      <w:lvlJc w:val="left"/>
      <w:pPr>
        <w:ind w:left="5760" w:hanging="360"/>
      </w:pPr>
    </w:lvl>
    <w:lvl w:ilvl="8" w:tplc="D76273A2">
      <w:start w:val="1"/>
      <w:numFmt w:val="bullet"/>
      <w:lvlText w:val="●"/>
      <w:lvlJc w:val="left"/>
      <w:pPr>
        <w:ind w:left="6480" w:hanging="360"/>
      </w:pPr>
    </w:lvl>
  </w:abstractNum>
  <w:abstractNum w:abstractNumId="1" w15:restartNumberingAfterBreak="0">
    <w:nsid w:val="5E524207"/>
    <w:multiLevelType w:val="hybridMultilevel"/>
    <w:tmpl w:val="96DCDE16"/>
    <w:lvl w:ilvl="0" w:tplc="280A000F">
      <w:start w:val="1"/>
      <w:numFmt w:val="decimal"/>
      <w:lvlText w:val="%1."/>
      <w:lvlJc w:val="left"/>
      <w:pPr>
        <w:ind w:left="4755" w:hanging="360"/>
      </w:pPr>
      <w:rPr>
        <w:rFonts w:hint="default"/>
      </w:rPr>
    </w:lvl>
    <w:lvl w:ilvl="1" w:tplc="280A0019" w:tentative="1">
      <w:start w:val="1"/>
      <w:numFmt w:val="lowerLetter"/>
      <w:lvlText w:val="%2."/>
      <w:lvlJc w:val="left"/>
      <w:pPr>
        <w:ind w:left="5475" w:hanging="360"/>
      </w:pPr>
    </w:lvl>
    <w:lvl w:ilvl="2" w:tplc="280A001B" w:tentative="1">
      <w:start w:val="1"/>
      <w:numFmt w:val="lowerRoman"/>
      <w:lvlText w:val="%3."/>
      <w:lvlJc w:val="right"/>
      <w:pPr>
        <w:ind w:left="6195" w:hanging="180"/>
      </w:pPr>
    </w:lvl>
    <w:lvl w:ilvl="3" w:tplc="280A000F" w:tentative="1">
      <w:start w:val="1"/>
      <w:numFmt w:val="decimal"/>
      <w:lvlText w:val="%4."/>
      <w:lvlJc w:val="left"/>
      <w:pPr>
        <w:ind w:left="6915" w:hanging="360"/>
      </w:pPr>
    </w:lvl>
    <w:lvl w:ilvl="4" w:tplc="280A0019" w:tentative="1">
      <w:start w:val="1"/>
      <w:numFmt w:val="lowerLetter"/>
      <w:lvlText w:val="%5."/>
      <w:lvlJc w:val="left"/>
      <w:pPr>
        <w:ind w:left="7635" w:hanging="360"/>
      </w:pPr>
    </w:lvl>
    <w:lvl w:ilvl="5" w:tplc="280A001B" w:tentative="1">
      <w:start w:val="1"/>
      <w:numFmt w:val="lowerRoman"/>
      <w:lvlText w:val="%6."/>
      <w:lvlJc w:val="right"/>
      <w:pPr>
        <w:ind w:left="8355" w:hanging="180"/>
      </w:pPr>
    </w:lvl>
    <w:lvl w:ilvl="6" w:tplc="280A000F" w:tentative="1">
      <w:start w:val="1"/>
      <w:numFmt w:val="decimal"/>
      <w:lvlText w:val="%7."/>
      <w:lvlJc w:val="left"/>
      <w:pPr>
        <w:ind w:left="9075" w:hanging="360"/>
      </w:pPr>
    </w:lvl>
    <w:lvl w:ilvl="7" w:tplc="280A0019" w:tentative="1">
      <w:start w:val="1"/>
      <w:numFmt w:val="lowerLetter"/>
      <w:lvlText w:val="%8."/>
      <w:lvlJc w:val="left"/>
      <w:pPr>
        <w:ind w:left="9795" w:hanging="360"/>
      </w:pPr>
    </w:lvl>
    <w:lvl w:ilvl="8" w:tplc="280A001B" w:tentative="1">
      <w:start w:val="1"/>
      <w:numFmt w:val="lowerRoman"/>
      <w:lvlText w:val="%9."/>
      <w:lvlJc w:val="right"/>
      <w:pPr>
        <w:ind w:left="10515" w:hanging="180"/>
      </w:pPr>
    </w:lvl>
  </w:abstractNum>
  <w:abstractNum w:abstractNumId="2" w15:restartNumberingAfterBreak="0">
    <w:nsid w:val="72272319"/>
    <w:multiLevelType w:val="hybridMultilevel"/>
    <w:tmpl w:val="3B4889C2"/>
    <w:lvl w:ilvl="0" w:tplc="51103A4A">
      <w:start w:val="1"/>
      <w:numFmt w:val="bullet"/>
      <w:lvlText w:val="•"/>
      <w:lvlJc w:val="left"/>
      <w:pPr>
        <w:ind w:left="720" w:hanging="360"/>
      </w:pPr>
      <w:rPr>
        <w:rFonts w:ascii="Arial" w:eastAsia="Arial" w:hAnsi="Arial" w:cs="Arial"/>
      </w:rPr>
    </w:lvl>
    <w:lvl w:ilvl="1" w:tplc="8D5C9110">
      <w:numFmt w:val="decimal"/>
      <w:lvlText w:val=""/>
      <w:lvlJc w:val="left"/>
    </w:lvl>
    <w:lvl w:ilvl="2" w:tplc="9E48E1F4">
      <w:numFmt w:val="decimal"/>
      <w:lvlText w:val=""/>
      <w:lvlJc w:val="left"/>
    </w:lvl>
    <w:lvl w:ilvl="3" w:tplc="00BED4DE">
      <w:numFmt w:val="decimal"/>
      <w:lvlText w:val=""/>
      <w:lvlJc w:val="left"/>
    </w:lvl>
    <w:lvl w:ilvl="4" w:tplc="E578B0D8">
      <w:numFmt w:val="decimal"/>
      <w:lvlText w:val=""/>
      <w:lvlJc w:val="left"/>
    </w:lvl>
    <w:lvl w:ilvl="5" w:tplc="DCC29454">
      <w:numFmt w:val="decimal"/>
      <w:lvlText w:val=""/>
      <w:lvlJc w:val="left"/>
    </w:lvl>
    <w:lvl w:ilvl="6" w:tplc="C44C42D4">
      <w:numFmt w:val="decimal"/>
      <w:lvlText w:val=""/>
      <w:lvlJc w:val="left"/>
    </w:lvl>
    <w:lvl w:ilvl="7" w:tplc="1CF2EE96">
      <w:numFmt w:val="decimal"/>
      <w:lvlText w:val=""/>
      <w:lvlJc w:val="left"/>
    </w:lvl>
    <w:lvl w:ilvl="8" w:tplc="A1CE00D6">
      <w:numFmt w:val="decimal"/>
      <w:lvlText w:val=""/>
      <w:lvlJc w:val="left"/>
    </w:lvl>
  </w:abstractNum>
  <w:num w:numId="1" w16cid:durableId="1539047769">
    <w:abstractNumId w:val="0"/>
    <w:lvlOverride w:ilvl="0">
      <w:startOverride w:val="1"/>
    </w:lvlOverride>
  </w:num>
  <w:num w:numId="2" w16cid:durableId="770663444">
    <w:abstractNumId w:val="2"/>
    <w:lvlOverride w:ilvl="0">
      <w:startOverride w:val="1"/>
    </w:lvlOverride>
  </w:num>
  <w:num w:numId="3" w16cid:durableId="499809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1F9"/>
    <w:rsid w:val="007731F9"/>
    <w:rsid w:val="008F7292"/>
    <w:rsid w:val="00A71D8B"/>
    <w:rsid w:val="00B5370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50D45"/>
  <w15:docId w15:val="{1CA481E4-B109-417F-9FD7-43E2F453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1" w:color="2E75B6"/>
      </w:pBdr>
      <w:spacing w:before="240" w:after="120"/>
      <w:outlineLvl w:val="0"/>
    </w:pPr>
    <w:rPr>
      <w:b/>
      <w:bCs/>
      <w:color w:val="1F4E79"/>
      <w:sz w:val="28"/>
      <w:szCs w:val="28"/>
    </w:rPr>
  </w:style>
  <w:style w:type="paragraph" w:styleId="Ttulo2">
    <w:name w:val="heading 2"/>
    <w:uiPriority w:val="9"/>
    <w:semiHidden/>
    <w:unhideWhenUsed/>
    <w:qFormat/>
    <w:pPr>
      <w:spacing w:before="200" w:after="100"/>
      <w:outlineLvl w:val="1"/>
    </w:pPr>
    <w:rPr>
      <w:b/>
      <w:bCs/>
      <w:color w:val="2E75B6"/>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862</Words>
  <Characters>4741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Renzo Jose Aranda Garrido</cp:lastModifiedBy>
  <cp:revision>2</cp:revision>
  <dcterms:created xsi:type="dcterms:W3CDTF">2026-06-21T21:48:00Z</dcterms:created>
  <dcterms:modified xsi:type="dcterms:W3CDTF">2026-06-21T22:01:00Z</dcterms:modified>
</cp:coreProperties>
</file>