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identity programme and accommodation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R502    Date 2026-11-03    Meeting minutes</w:t>
      </w:r>
    </w:p>
    <w:p>
      <w:r>
        <w:t>Attendees: Fictional Project Architect, Structural Engineer, Procurement Officer and Quantity Surveyor. Recorder: Fictional Quantity Surveyor.</w:t>
      </w:r>
    </w:p>
    <w:p>
      <w:pPr>
        <w:widowControl/>
      </w:pPr>
      <w:r>
        <w:t>The approved tender is Contract No. 20270194, Construction of Community Library and Indoor Sports Centre at Fanling Area 17.</w:t>
      </w:r>
    </w:p>
    <w:p>
      <w:pPr>
        <w:widowControl/>
      </w:pPr>
      <w:r>
        <w:t>The accepted whole contract completion period is 28 months. This is below the 39 month threshold.</w:t>
      </w:r>
    </w:p>
    <w:p>
      <w:pPr>
        <w:widowControl/>
      </w:pPr>
      <w:r>
        <w:t>The contract includes foundation works for the library and indoor sports centre. Both facilities are non-domestic buildings. No domestic block or residential accommodation is included.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identity programme and accommodation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