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Adopted Bills of Quantities register</w:t>
      </w:r>
    </w:p>
    <w:p>
      <w:r>
        <w:rPr>
          <w:sz w:val="18"/>
        </w:rPr>
        <w:t>Fictional test correspondence. All people, addresses, decisions and project particulars in this document are invented for a software evaluation.</w:t>
      </w:r>
    </w:p>
    <w:p>
      <w:r>
        <w:t>Record R503    Date 2026-11-04    Email reply</w:t>
      </w:r>
    </w:p>
    <w:p>
      <w:r>
        <w:t>From: Fictional Quantity Surveyor &lt;qs@consense-scenario.invalid&gt;</w:t>
        <w:br/>
        <w:t>To: Fictional Coordination Team &lt;team@consense-scenario.invalid&gt;</w:t>
      </w:r>
    </w:p>
    <w:p>
      <w:pPr>
        <w:widowControl/>
      </w:pPr>
      <w:r>
        <w:t>The tender is priced entirely by Bills of Quantities. No Schedule of Rates forms part of the adopted pricing scheme. The table below is the complete register of six BQ Bills.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7776"/>
        <w:gridCol w:w="1296"/>
      </w:tblGrid>
      <w:tr>
        <w:trPr>
          <w:tblHeader/>
          <w:cantSplit/>
        </w:trPr>
        <w:tc>
          <w:tcPr>
            <w:tcW w:type="dxa" w:w="1152"/>
            <w:vAlign w:val="center"/>
            <w:tcMar>
              <w:top w:w="85" w:type="dxa"/>
              <w:left w:w="85" w:type="dxa"/>
              <w:bottom w:w="85" w:type="dxa"/>
              <w:right w:w="85" w:type="dxa"/>
            </w:tcMar>
            <w:shd w:fill="E7E6E6"/>
          </w:tcPr>
          <w:p>
            <w:pPr>
              <w:spacing w:after="60" w:line="240" w:lineRule="auto"/>
            </w:pPr>
            <w:r>
              <w:rPr>
                <w:b/>
                <w:sz w:val="21"/>
              </w:rPr>
              <w:t>Bill number</w:t>
            </w:r>
          </w:p>
        </w:tc>
        <w:tc>
          <w:tcPr>
            <w:tcW w:type="dxa" w:w="7776"/>
            <w:vAlign w:val="center"/>
            <w:tcMar>
              <w:top w:w="85" w:type="dxa"/>
              <w:left w:w="85" w:type="dxa"/>
              <w:bottom w:w="85" w:type="dxa"/>
              <w:right w:w="85" w:type="dxa"/>
            </w:tcMar>
            <w:shd w:fill="E7E6E6"/>
          </w:tcPr>
          <w:p>
            <w:pPr>
              <w:spacing w:after="60" w:line="240" w:lineRule="auto"/>
            </w:pPr>
            <w:r>
              <w:rPr>
                <w:b/>
                <w:sz w:val="21"/>
              </w:rPr>
              <w:t>Description</w:t>
            </w:r>
          </w:p>
        </w:tc>
        <w:tc>
          <w:tcPr>
            <w:tcW w:type="dxa" w:w="1296"/>
            <w:vAlign w:val="center"/>
            <w:tcMar>
              <w:top w:w="85" w:type="dxa"/>
              <w:left w:w="85" w:type="dxa"/>
              <w:bottom w:w="85" w:type="dxa"/>
              <w:right w:w="85" w:type="dxa"/>
            </w:tcMar>
            <w:shd w:fill="E7E6E6"/>
          </w:tcPr>
          <w:p>
            <w:pPr>
              <w:spacing w:after="60" w:line="240" w:lineRule="auto"/>
            </w:pPr>
            <w:r>
              <w:rPr>
                <w:b/>
                <w:sz w:val="21"/>
              </w:rPr>
              <w:t>Pricing type</w:t>
            </w:r>
          </w:p>
        </w:tc>
      </w:tr>
      <w:tr>
        <w:trPr>
          <w:cantSplit/>
        </w:trPr>
        <w:tc>
          <w:tcPr>
            <w:tcW w:type="dxa" w:w="1152"/>
            <w:vAlign w:val="center"/>
            <w:tcMar>
              <w:top w:w="85" w:type="dxa"/>
              <w:left w:w="85" w:type="dxa"/>
              <w:bottom w:w="85" w:type="dxa"/>
              <w:right w:w="85" w:type="dxa"/>
            </w:tcMar>
          </w:tcPr>
          <w:p>
            <w:pPr>
              <w:spacing w:after="60" w:line="240" w:lineRule="auto"/>
            </w:pPr>
            <w:r>
              <w:rPr>
                <w:b w:val="0"/>
                <w:sz w:val="21"/>
              </w:rPr>
              <w:t>1</w:t>
            </w:r>
          </w:p>
        </w:tc>
        <w:tc>
          <w:tcPr>
            <w:tcW w:type="dxa" w:w="7776"/>
            <w:vAlign w:val="center"/>
            <w:tcMar>
              <w:top w:w="85" w:type="dxa"/>
              <w:left w:w="85" w:type="dxa"/>
              <w:bottom w:w="85" w:type="dxa"/>
              <w:right w:w="85" w:type="dxa"/>
            </w:tcMar>
          </w:tcPr>
          <w:p>
            <w:pPr>
              <w:spacing w:after="60" w:line="240" w:lineRule="auto"/>
            </w:pPr>
            <w:r>
              <w:rPr>
                <w:b w:val="0"/>
                <w:sz w:val="21"/>
              </w:rPr>
              <w:t>General Preliminaries</w:t>
            </w:r>
          </w:p>
        </w:tc>
        <w:tc>
          <w:tcPr>
            <w:tcW w:type="dxa" w:w="1296"/>
            <w:vAlign w:val="center"/>
            <w:tcMar>
              <w:top w:w="85" w:type="dxa"/>
              <w:left w:w="85" w:type="dxa"/>
              <w:bottom w:w="85" w:type="dxa"/>
              <w:right w:w="85" w:type="dxa"/>
            </w:tcMar>
          </w:tcPr>
          <w:p>
            <w:pPr>
              <w:spacing w:after="60" w:line="240" w:lineRule="auto"/>
            </w:pPr>
            <w:r>
              <w:rPr>
                <w:b w:val="0"/>
                <w:sz w:val="21"/>
              </w:rPr>
              <w:t>BQ</w:t>
            </w:r>
          </w:p>
        </w:tc>
      </w:tr>
      <w:tr>
        <w:trPr>
          <w:cantSplit/>
        </w:trPr>
        <w:tc>
          <w:tcPr>
            <w:tcW w:type="dxa" w:w="1152"/>
            <w:vAlign w:val="center"/>
            <w:tcMar>
              <w:top w:w="85" w:type="dxa"/>
              <w:left w:w="85" w:type="dxa"/>
              <w:bottom w:w="85" w:type="dxa"/>
              <w:right w:w="85" w:type="dxa"/>
            </w:tcMar>
          </w:tcPr>
          <w:p>
            <w:pPr>
              <w:spacing w:after="60" w:line="240" w:lineRule="auto"/>
            </w:pPr>
            <w:r>
              <w:rPr>
                <w:b w:val="0"/>
                <w:sz w:val="21"/>
              </w:rPr>
              <w:t>2</w:t>
            </w:r>
          </w:p>
        </w:tc>
        <w:tc>
          <w:tcPr>
            <w:tcW w:type="dxa" w:w="7776"/>
            <w:vAlign w:val="center"/>
            <w:tcMar>
              <w:top w:w="85" w:type="dxa"/>
              <w:left w:w="85" w:type="dxa"/>
              <w:bottom w:w="85" w:type="dxa"/>
              <w:right w:w="85" w:type="dxa"/>
            </w:tcMar>
          </w:tcPr>
          <w:p>
            <w:pPr>
              <w:spacing w:after="60" w:line="240" w:lineRule="auto"/>
            </w:pPr>
            <w:r>
              <w:rPr>
                <w:b w:val="0"/>
                <w:sz w:val="21"/>
              </w:rPr>
              <w:t>Preambles to the Bills of Quantities</w:t>
            </w:r>
          </w:p>
        </w:tc>
        <w:tc>
          <w:tcPr>
            <w:tcW w:type="dxa" w:w="1296"/>
            <w:vAlign w:val="center"/>
            <w:tcMar>
              <w:top w:w="85" w:type="dxa"/>
              <w:left w:w="85" w:type="dxa"/>
              <w:bottom w:w="85" w:type="dxa"/>
              <w:right w:w="85" w:type="dxa"/>
            </w:tcMar>
          </w:tcPr>
          <w:p>
            <w:pPr>
              <w:spacing w:after="60" w:line="240" w:lineRule="auto"/>
            </w:pPr>
            <w:r>
              <w:rPr>
                <w:b w:val="0"/>
                <w:sz w:val="21"/>
              </w:rPr>
              <w:t>BQ</w:t>
            </w:r>
          </w:p>
        </w:tc>
      </w:tr>
      <w:tr>
        <w:trPr>
          <w:cantSplit/>
        </w:trPr>
        <w:tc>
          <w:tcPr>
            <w:tcW w:type="dxa" w:w="1152"/>
            <w:vAlign w:val="center"/>
            <w:tcMar>
              <w:top w:w="85" w:type="dxa"/>
              <w:left w:w="85" w:type="dxa"/>
              <w:bottom w:w="85" w:type="dxa"/>
              <w:right w:w="85" w:type="dxa"/>
            </w:tcMar>
          </w:tcPr>
          <w:p>
            <w:pPr>
              <w:spacing w:after="60" w:line="240" w:lineRule="auto"/>
            </w:pPr>
            <w:r>
              <w:rPr>
                <w:b w:val="0"/>
                <w:sz w:val="21"/>
              </w:rPr>
              <w:t>3</w:t>
            </w:r>
          </w:p>
        </w:tc>
        <w:tc>
          <w:tcPr>
            <w:tcW w:type="dxa" w:w="7776"/>
            <w:vAlign w:val="center"/>
            <w:tcMar>
              <w:top w:w="85" w:type="dxa"/>
              <w:left w:w="85" w:type="dxa"/>
              <w:bottom w:w="85" w:type="dxa"/>
              <w:right w:w="85" w:type="dxa"/>
            </w:tcMar>
          </w:tcPr>
          <w:p>
            <w:pPr>
              <w:spacing w:after="60" w:line="240" w:lineRule="auto"/>
            </w:pPr>
            <w:r>
              <w:rPr>
                <w:b w:val="0"/>
                <w:sz w:val="21"/>
              </w:rPr>
              <w:t>Library Building (All Provisional)</w:t>
            </w:r>
          </w:p>
        </w:tc>
        <w:tc>
          <w:tcPr>
            <w:tcW w:type="dxa" w:w="1296"/>
            <w:vAlign w:val="center"/>
            <w:tcMar>
              <w:top w:w="85" w:type="dxa"/>
              <w:left w:w="85" w:type="dxa"/>
              <w:bottom w:w="85" w:type="dxa"/>
              <w:right w:w="85" w:type="dxa"/>
            </w:tcMar>
          </w:tcPr>
          <w:p>
            <w:pPr>
              <w:spacing w:after="60" w:line="240" w:lineRule="auto"/>
            </w:pPr>
            <w:r>
              <w:rPr>
                <w:b w:val="0"/>
                <w:sz w:val="21"/>
              </w:rPr>
              <w:t>BQ</w:t>
            </w:r>
          </w:p>
        </w:tc>
      </w:tr>
      <w:tr>
        <w:trPr>
          <w:cantSplit/>
        </w:trPr>
        <w:tc>
          <w:tcPr>
            <w:tcW w:type="dxa" w:w="1152"/>
            <w:vAlign w:val="center"/>
            <w:tcMar>
              <w:top w:w="85" w:type="dxa"/>
              <w:left w:w="85" w:type="dxa"/>
              <w:bottom w:w="85" w:type="dxa"/>
              <w:right w:w="85" w:type="dxa"/>
            </w:tcMar>
          </w:tcPr>
          <w:p>
            <w:pPr>
              <w:spacing w:after="60" w:line="240" w:lineRule="auto"/>
            </w:pPr>
            <w:r>
              <w:rPr>
                <w:b w:val="0"/>
                <w:sz w:val="21"/>
              </w:rPr>
              <w:t>4</w:t>
            </w:r>
          </w:p>
        </w:tc>
        <w:tc>
          <w:tcPr>
            <w:tcW w:type="dxa" w:w="7776"/>
            <w:vAlign w:val="center"/>
            <w:tcMar>
              <w:top w:w="85" w:type="dxa"/>
              <w:left w:w="85" w:type="dxa"/>
              <w:bottom w:w="85" w:type="dxa"/>
              <w:right w:w="85" w:type="dxa"/>
            </w:tcMar>
          </w:tcPr>
          <w:p>
            <w:pPr>
              <w:spacing w:after="60" w:line="240" w:lineRule="auto"/>
            </w:pPr>
            <w:r>
              <w:rPr>
                <w:b w:val="0"/>
                <w:sz w:val="21"/>
              </w:rPr>
              <w:t>Indoor Sports Centre (All Provisional)</w:t>
            </w:r>
          </w:p>
        </w:tc>
        <w:tc>
          <w:tcPr>
            <w:tcW w:type="dxa" w:w="1296"/>
            <w:vAlign w:val="center"/>
            <w:tcMar>
              <w:top w:w="85" w:type="dxa"/>
              <w:left w:w="85" w:type="dxa"/>
              <w:bottom w:w="85" w:type="dxa"/>
              <w:right w:w="85" w:type="dxa"/>
            </w:tcMar>
          </w:tcPr>
          <w:p>
            <w:pPr>
              <w:spacing w:after="60" w:line="240" w:lineRule="auto"/>
            </w:pPr>
            <w:r>
              <w:rPr>
                <w:b w:val="0"/>
                <w:sz w:val="21"/>
              </w:rPr>
              <w:t>BQ</w:t>
            </w:r>
          </w:p>
        </w:tc>
      </w:tr>
      <w:tr>
        <w:trPr>
          <w:cantSplit/>
        </w:trPr>
        <w:tc>
          <w:tcPr>
            <w:tcW w:type="dxa" w:w="1152"/>
            <w:vAlign w:val="center"/>
            <w:tcMar>
              <w:top w:w="85" w:type="dxa"/>
              <w:left w:w="85" w:type="dxa"/>
              <w:bottom w:w="85" w:type="dxa"/>
              <w:right w:w="85" w:type="dxa"/>
            </w:tcMar>
          </w:tcPr>
          <w:p>
            <w:pPr>
              <w:spacing w:after="60" w:line="240" w:lineRule="auto"/>
            </w:pPr>
            <w:r>
              <w:rPr>
                <w:b w:val="0"/>
                <w:sz w:val="21"/>
              </w:rPr>
              <w:t>5</w:t>
            </w:r>
          </w:p>
        </w:tc>
        <w:tc>
          <w:tcPr>
            <w:tcW w:type="dxa" w:w="7776"/>
            <w:vAlign w:val="center"/>
            <w:tcMar>
              <w:top w:w="85" w:type="dxa"/>
              <w:left w:w="85" w:type="dxa"/>
              <w:bottom w:w="85" w:type="dxa"/>
              <w:right w:w="85" w:type="dxa"/>
            </w:tcMar>
          </w:tcPr>
          <w:p>
            <w:pPr>
              <w:spacing w:after="60" w:line="240" w:lineRule="auto"/>
            </w:pPr>
            <w:r>
              <w:rPr>
                <w:b w:val="0"/>
                <w:sz w:val="21"/>
              </w:rPr>
              <w:t>Foundations and Groundworks (All Provisional)</w:t>
            </w:r>
          </w:p>
        </w:tc>
        <w:tc>
          <w:tcPr>
            <w:tcW w:type="dxa" w:w="1296"/>
            <w:vAlign w:val="center"/>
            <w:tcMar>
              <w:top w:w="85" w:type="dxa"/>
              <w:left w:w="85" w:type="dxa"/>
              <w:bottom w:w="85" w:type="dxa"/>
              <w:right w:w="85" w:type="dxa"/>
            </w:tcMar>
          </w:tcPr>
          <w:p>
            <w:pPr>
              <w:spacing w:after="60" w:line="240" w:lineRule="auto"/>
            </w:pPr>
            <w:r>
              <w:rPr>
                <w:b w:val="0"/>
                <w:sz w:val="21"/>
              </w:rPr>
              <w:t>BQ</w:t>
            </w:r>
          </w:p>
        </w:tc>
      </w:tr>
      <w:tr>
        <w:trPr>
          <w:cantSplit/>
        </w:trPr>
        <w:tc>
          <w:tcPr>
            <w:tcW w:type="dxa" w:w="1152"/>
            <w:vAlign w:val="center"/>
            <w:tcMar>
              <w:top w:w="85" w:type="dxa"/>
              <w:left w:w="85" w:type="dxa"/>
              <w:bottom w:w="85" w:type="dxa"/>
              <w:right w:w="85" w:type="dxa"/>
            </w:tcMar>
          </w:tcPr>
          <w:p>
            <w:pPr>
              <w:spacing w:after="60" w:line="240" w:lineRule="auto"/>
            </w:pPr>
            <w:r>
              <w:rPr>
                <w:b w:val="0"/>
                <w:sz w:val="21"/>
              </w:rPr>
              <w:t>6</w:t>
            </w:r>
          </w:p>
        </w:tc>
        <w:tc>
          <w:tcPr>
            <w:tcW w:type="dxa" w:w="7776"/>
            <w:vAlign w:val="center"/>
            <w:tcMar>
              <w:top w:w="85" w:type="dxa"/>
              <w:left w:w="85" w:type="dxa"/>
              <w:bottom w:w="85" w:type="dxa"/>
              <w:right w:w="85" w:type="dxa"/>
            </w:tcMar>
          </w:tcPr>
          <w:p>
            <w:pPr>
              <w:spacing w:after="60" w:line="240" w:lineRule="auto"/>
            </w:pPr>
            <w:r>
              <w:rPr>
                <w:b w:val="0"/>
                <w:sz w:val="21"/>
              </w:rPr>
              <w:t>External Works and Drainage (All Provisional)</w:t>
            </w:r>
          </w:p>
        </w:tc>
        <w:tc>
          <w:tcPr>
            <w:tcW w:type="dxa" w:w="1296"/>
            <w:vAlign w:val="center"/>
            <w:tcMar>
              <w:top w:w="85" w:type="dxa"/>
              <w:left w:w="85" w:type="dxa"/>
              <w:bottom w:w="85" w:type="dxa"/>
              <w:right w:w="85" w:type="dxa"/>
            </w:tcMar>
          </w:tcPr>
          <w:p>
            <w:pPr>
              <w:spacing w:after="60" w:line="240" w:lineRule="auto"/>
            </w:pPr>
            <w:r>
              <w:rPr>
                <w:b w:val="0"/>
                <w:sz w:val="21"/>
              </w:rPr>
              <w:t>BQ</w:t>
            </w:r>
          </w:p>
        </w:tc>
      </w:tr>
    </w:tbl>
    <w:p>
      <w:pPr>
        <w:spacing w:after="60"/>
      </w:pPr>
    </w:p>
    <w:p>
      <w:pPr>
        <w:widowControl/>
      </w:pPr>
      <w:r>
        <w:t>All quantities in the Bills of Quantities are provisional. The provisional measurement arrangement applies to all six Bills, including the quantities in the preliminaries and preambles where quantities are stated.</w:t>
      </w:r>
    </w:p>
    <w:p>
      <w:r>
        <w:t>Regards,</w:t>
        <w:br/>
        <w:t>Fictional Quantity Surveyor</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0" w:lineRule="auto"/>
      <w:contextualSpacing/>
    </w:pPr>
    <w:rPr>
      <w:rFonts w:asciiTheme="majorHAnsi" w:eastAsiaTheme="majorEastAsia" w:hAnsiTheme="majorHAnsi" w:cstheme="majorBidi" w:ascii="Arial" w:hAnsi="Arial"/>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Adopted Bills of Quantities register</dc:title>
  <dc:subject/>
  <dc:creator>ConSense fictional community facilities coordination team</dc:creator>
  <cp:keywords/>
  <dc:description>generated by python-docx</dc:description>
  <cp:lastModifiedBy/>
  <cp:revision>1</cp:revision>
  <dcterms:created xsi:type="dcterms:W3CDTF">2026-10-09T00:00:00Z</dcterms:created>
  <dcterms:modified xsi:type="dcterms:W3CDTF">2026-10-09T00:00:00Z</dcterms:modified>
  <cp:category/>
</cp:coreProperties>
</file>